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4BA04D1C"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561B8A">
        <w:rPr>
          <w:rFonts w:ascii="Arial" w:eastAsiaTheme="minorEastAsia" w:hAnsi="Arial" w:cs="Arial"/>
          <w:b/>
          <w:sz w:val="24"/>
          <w:szCs w:val="24"/>
          <w:lang w:eastAsia="zh-CN"/>
        </w:rPr>
        <w:t>3233</w:t>
      </w:r>
    </w:p>
    <w:p w14:paraId="049DFC34" w14:textId="02026A5B" w:rsidR="00942010" w:rsidRDefault="00E30194"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19</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sidR="00942010">
        <w:rPr>
          <w:rFonts w:ascii="Arial" w:eastAsiaTheme="minorEastAsia" w:hAnsi="Arial" w:cs="Arial"/>
          <w:b/>
          <w:sz w:val="24"/>
          <w:szCs w:val="24"/>
          <w:lang w:eastAsia="zh-CN"/>
        </w:rPr>
        <w:t>2</w:t>
      </w:r>
      <w:r w:rsidR="003D7EB3">
        <w:rPr>
          <w:rFonts w:ascii="Arial" w:eastAsiaTheme="minorEastAsia" w:hAnsi="Arial" w:cs="Arial"/>
          <w:b/>
          <w:sz w:val="24"/>
          <w:szCs w:val="24"/>
          <w:lang w:eastAsia="zh-CN"/>
        </w:rPr>
        <w:t>3</w:t>
      </w:r>
      <w:r w:rsidR="00942010">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August</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5358C958"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BE1723" w:rsidRPr="00BE1723">
        <w:rPr>
          <w:rFonts w:ascii="Arial" w:hAnsi="Arial" w:cs="Arial"/>
          <w:bCs/>
          <w:sz w:val="22"/>
        </w:rPr>
        <w:t>On DL CA_n66(2A) and CA_n66(3A) with UL CA_n66(2A)</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632604FA"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BE1723" w:rsidRPr="00BE1723">
        <w:rPr>
          <w:rFonts w:ascii="Arial" w:hAnsi="Arial" w:cs="Arial"/>
          <w:sz w:val="22"/>
          <w:lang w:eastAsia="zh-CN"/>
        </w:rPr>
        <w:t>7.3.2</w:t>
      </w:r>
      <w:r w:rsidR="00BE1723" w:rsidRPr="00BE1723">
        <w:rPr>
          <w:rFonts w:ascii="Arial" w:hAnsi="Arial" w:cs="Arial"/>
          <w:sz w:val="22"/>
          <w:lang w:eastAsia="zh-CN"/>
        </w:rPr>
        <w:tab/>
        <w:t>UE RF requirements for NR intra-band CA combinations for x CC DL/y CC UL (NR_CA_R19_Intra with/without UL-MIMO)</w:t>
      </w:r>
      <w:r w:rsidR="00BE1723" w:rsidRPr="00BE1723">
        <w:rPr>
          <w:rFonts w:ascii="Arial" w:hAnsi="Arial" w:cs="Arial"/>
          <w:sz w:val="22"/>
          <w:lang w:eastAsia="zh-CN"/>
        </w:rPr>
        <w:tab/>
        <w:t>[NR_CADC_SUL_R19-Core]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774E82B4" w:rsidR="00F2750F" w:rsidRPr="00AB149D" w:rsidRDefault="00A37ACD" w:rsidP="00A37ACD">
      <w:pPr>
        <w:spacing w:after="0"/>
      </w:pPr>
      <w:bookmarkStart w:id="0" w:name="_Hlk149936446"/>
      <w:r>
        <w:t>In RAN#1</w:t>
      </w:r>
      <w:r w:rsidR="00BE1723">
        <w:t>04</w:t>
      </w:r>
      <w:r w:rsidR="00B4277E">
        <w:t xml:space="preserve">, </w:t>
      </w:r>
      <w:r w:rsidR="00CA7B22">
        <w:t xml:space="preserve">a </w:t>
      </w:r>
      <w:bookmarkStart w:id="1" w:name="_Hlk165324434"/>
      <w:r w:rsidR="00BE1723">
        <w:t>new NR CA basket was introduced</w:t>
      </w:r>
      <w:r w:rsidR="00CC584D">
        <w:t>.</w:t>
      </w:r>
      <w:r w:rsidR="00BE1723">
        <w:t xml:space="preserve"> </w:t>
      </w:r>
      <w:r w:rsidR="00CC584D">
        <w:t>This</w:t>
      </w:r>
      <w:r w:rsidR="00BE1723">
        <w:t xml:space="preserve"> include</w:t>
      </w:r>
      <w:r w:rsidR="00CC584D">
        <w:t>s</w:t>
      </w:r>
      <w:r w:rsidR="00BE1723">
        <w:t xml:space="preserve"> intra-band DL/UL CA combination</w:t>
      </w:r>
      <w:r w:rsidR="00CC584D">
        <w:t>s as one of the objectives</w:t>
      </w:r>
      <w:r w:rsidR="00BE1723">
        <w:t>. There is a</w:t>
      </w:r>
      <w:r w:rsidR="00CC584D">
        <w:t>n existing</w:t>
      </w:r>
      <w:r w:rsidR="00BE1723">
        <w:t xml:space="preserve"> request to support CA_n66(2A) or CA_n66(3A) in DL with CA_n66(2A) in UL. In this contribution</w:t>
      </w:r>
      <w:r w:rsidR="00F25663">
        <w:t xml:space="preserve">, </w:t>
      </w:r>
      <w:r w:rsidR="005504BE">
        <w:t xml:space="preserve">we </w:t>
      </w:r>
      <w:r w:rsidR="00BE1723">
        <w:t>provide clarification on the request, the work related to UL CA_n66(2A)</w:t>
      </w:r>
      <w:r w:rsidR="00CC584D">
        <w:t>,</w:t>
      </w:r>
      <w:r w:rsidR="00BE1723">
        <w:t xml:space="preserve"> and its preferred implementation</w:t>
      </w:r>
      <w:r w:rsidR="005504BE">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68831B12" w:rsidR="00283913" w:rsidRDefault="006B1B45" w:rsidP="003C0520">
      <w:pPr>
        <w:pStyle w:val="Heading2"/>
        <w:tabs>
          <w:tab w:val="left" w:pos="5865"/>
        </w:tabs>
        <w:rPr>
          <w:rFonts w:eastAsia="Arial"/>
          <w:lang w:eastAsia="zh-CN"/>
        </w:rPr>
      </w:pPr>
      <w:r>
        <w:rPr>
          <w:rFonts w:eastAsia="Arial"/>
          <w:lang w:eastAsia="zh-CN"/>
        </w:rPr>
        <w:t xml:space="preserve">2.1 </w:t>
      </w:r>
      <w:r w:rsidR="00BE1723">
        <w:rPr>
          <w:rFonts w:eastAsia="Arial"/>
          <w:lang w:eastAsia="zh-CN"/>
        </w:rPr>
        <w:t>CA_n66(</w:t>
      </w:r>
      <w:proofErr w:type="spellStart"/>
      <w:r w:rsidR="00BE1723">
        <w:rPr>
          <w:rFonts w:eastAsia="Arial"/>
          <w:lang w:eastAsia="zh-CN"/>
        </w:rPr>
        <w:t>xA</w:t>
      </w:r>
      <w:proofErr w:type="spellEnd"/>
      <w:r w:rsidR="00BE1723">
        <w:rPr>
          <w:rFonts w:eastAsia="Arial"/>
          <w:lang w:eastAsia="zh-CN"/>
        </w:rPr>
        <w:t>) request</w:t>
      </w:r>
    </w:p>
    <w:p w14:paraId="407BA4D8" w14:textId="0214DC15" w:rsidR="00BE1723" w:rsidRPr="00CE5959" w:rsidRDefault="00BE1723" w:rsidP="00BE1723">
      <w:r w:rsidRPr="00CE5959">
        <w:t>The requested BCS for CA_n66(</w:t>
      </w:r>
      <w:proofErr w:type="spellStart"/>
      <w:r w:rsidRPr="00CE5959">
        <w:t>xA</w:t>
      </w:r>
      <w:proofErr w:type="spellEnd"/>
      <w:r w:rsidRPr="00CE5959">
        <w:t>) is copied in the table below:</w:t>
      </w:r>
    </w:p>
    <w:tbl>
      <w:tblPr>
        <w:tblW w:w="9533" w:type="dxa"/>
        <w:tblInd w:w="-3" w:type="dxa"/>
        <w:tblCellMar>
          <w:left w:w="0" w:type="dxa"/>
          <w:right w:w="0" w:type="dxa"/>
        </w:tblCellMar>
        <w:tblLook w:val="04A0" w:firstRow="1" w:lastRow="0" w:firstColumn="1" w:lastColumn="0" w:noHBand="0" w:noVBand="1"/>
      </w:tblPr>
      <w:tblGrid>
        <w:gridCol w:w="1221"/>
        <w:gridCol w:w="1293"/>
        <w:gridCol w:w="1529"/>
        <w:gridCol w:w="1530"/>
        <w:gridCol w:w="1710"/>
        <w:gridCol w:w="1170"/>
        <w:gridCol w:w="1161"/>
      </w:tblGrid>
      <w:tr w:rsidR="00BE1723" w:rsidRPr="00BE1723" w14:paraId="58FB891F" w14:textId="77777777" w:rsidTr="00BE1723">
        <w:trPr>
          <w:trHeight w:val="817"/>
        </w:trPr>
        <w:tc>
          <w:tcPr>
            <w:tcW w:w="1221" w:type="dxa"/>
            <w:tcBorders>
              <w:top w:val="single" w:sz="8" w:space="0" w:color="92D050"/>
              <w:left w:val="single" w:sz="8" w:space="0" w:color="92D050"/>
              <w:bottom w:val="single" w:sz="8" w:space="0" w:color="92D050"/>
              <w:right w:val="single" w:sz="8" w:space="0" w:color="92D050"/>
            </w:tcBorders>
            <w:shd w:val="clear" w:color="auto" w:fill="E6E6E6"/>
            <w:noWrap/>
            <w:tcMar>
              <w:top w:w="0" w:type="dxa"/>
              <w:left w:w="108" w:type="dxa"/>
              <w:bottom w:w="0" w:type="dxa"/>
              <w:right w:w="108" w:type="dxa"/>
            </w:tcMar>
            <w:vAlign w:val="center"/>
            <w:hideMark/>
          </w:tcPr>
          <w:p w14:paraId="626FCAE2"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b/>
                <w:bCs/>
                <w:color w:val="000000"/>
                <w:sz w:val="18"/>
                <w:szCs w:val="18"/>
              </w:rPr>
              <w:t>NR CA configuration</w:t>
            </w:r>
          </w:p>
        </w:tc>
        <w:tc>
          <w:tcPr>
            <w:tcW w:w="1293" w:type="dxa"/>
            <w:tcBorders>
              <w:top w:val="single" w:sz="8" w:space="0" w:color="92D050"/>
              <w:left w:val="nil"/>
              <w:bottom w:val="single" w:sz="8" w:space="0" w:color="92D050"/>
              <w:right w:val="single" w:sz="8" w:space="0" w:color="92D050"/>
            </w:tcBorders>
            <w:shd w:val="clear" w:color="auto" w:fill="E6E6E6"/>
            <w:tcMar>
              <w:top w:w="0" w:type="dxa"/>
              <w:left w:w="108" w:type="dxa"/>
              <w:bottom w:w="0" w:type="dxa"/>
              <w:right w:w="108" w:type="dxa"/>
            </w:tcMar>
            <w:vAlign w:val="center"/>
            <w:hideMark/>
          </w:tcPr>
          <w:p w14:paraId="75C726D3"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b/>
                <w:bCs/>
                <w:color w:val="000000"/>
                <w:sz w:val="18"/>
                <w:szCs w:val="18"/>
              </w:rPr>
              <w:t xml:space="preserve">Uplink NR CA </w:t>
            </w:r>
            <w:r w:rsidRPr="00BE1723">
              <w:rPr>
                <w:rFonts w:asciiTheme="minorHAnsi" w:hAnsiTheme="minorHAnsi" w:cstheme="minorHAnsi"/>
                <w:b/>
                <w:bCs/>
                <w:color w:val="000000"/>
                <w:sz w:val="18"/>
                <w:szCs w:val="18"/>
              </w:rPr>
              <w:br/>
              <w:t>configurations</w:t>
            </w:r>
          </w:p>
        </w:tc>
        <w:tc>
          <w:tcPr>
            <w:tcW w:w="1529" w:type="dxa"/>
            <w:tcBorders>
              <w:top w:val="single" w:sz="8" w:space="0" w:color="92D050"/>
              <w:left w:val="nil"/>
              <w:bottom w:val="single" w:sz="8" w:space="0" w:color="92D050"/>
              <w:right w:val="single" w:sz="8" w:space="0" w:color="92D050"/>
            </w:tcBorders>
            <w:shd w:val="clear" w:color="auto" w:fill="E6E6E6"/>
            <w:tcMar>
              <w:top w:w="0" w:type="dxa"/>
              <w:left w:w="108" w:type="dxa"/>
              <w:bottom w:w="0" w:type="dxa"/>
              <w:right w:w="108" w:type="dxa"/>
            </w:tcMar>
            <w:vAlign w:val="center"/>
            <w:hideMark/>
          </w:tcPr>
          <w:p w14:paraId="74296DFA"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b/>
                <w:bCs/>
                <w:color w:val="000000"/>
                <w:sz w:val="18"/>
                <w:szCs w:val="18"/>
              </w:rPr>
              <w:t>channel bandwidths</w:t>
            </w:r>
            <w:r w:rsidRPr="00BE1723">
              <w:rPr>
                <w:rFonts w:asciiTheme="minorHAnsi" w:hAnsiTheme="minorHAnsi" w:cstheme="minorHAnsi"/>
                <w:b/>
                <w:bCs/>
                <w:color w:val="000000"/>
                <w:sz w:val="18"/>
                <w:szCs w:val="18"/>
              </w:rPr>
              <w:br/>
              <w:t>for carrier [MHz]</w:t>
            </w:r>
          </w:p>
        </w:tc>
        <w:tc>
          <w:tcPr>
            <w:tcW w:w="1530" w:type="dxa"/>
            <w:tcBorders>
              <w:top w:val="single" w:sz="8" w:space="0" w:color="92D050"/>
              <w:left w:val="nil"/>
              <w:bottom w:val="single" w:sz="8" w:space="0" w:color="92D050"/>
              <w:right w:val="single" w:sz="8" w:space="0" w:color="92D050"/>
            </w:tcBorders>
            <w:shd w:val="clear" w:color="auto" w:fill="E6E6E6"/>
            <w:tcMar>
              <w:top w:w="0" w:type="dxa"/>
              <w:left w:w="108" w:type="dxa"/>
              <w:bottom w:w="0" w:type="dxa"/>
              <w:right w:w="108" w:type="dxa"/>
            </w:tcMar>
            <w:vAlign w:val="center"/>
            <w:hideMark/>
          </w:tcPr>
          <w:p w14:paraId="746CFD70"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b/>
                <w:bCs/>
                <w:color w:val="000000"/>
                <w:sz w:val="18"/>
                <w:szCs w:val="18"/>
              </w:rPr>
              <w:t>channel bandwidths</w:t>
            </w:r>
            <w:r w:rsidRPr="00BE1723">
              <w:rPr>
                <w:rFonts w:asciiTheme="minorHAnsi" w:hAnsiTheme="minorHAnsi" w:cstheme="minorHAnsi"/>
                <w:b/>
                <w:bCs/>
                <w:color w:val="000000"/>
                <w:sz w:val="18"/>
                <w:szCs w:val="18"/>
              </w:rPr>
              <w:br/>
              <w:t>for carrier [MHz]</w:t>
            </w:r>
          </w:p>
        </w:tc>
        <w:tc>
          <w:tcPr>
            <w:tcW w:w="1710" w:type="dxa"/>
            <w:tcBorders>
              <w:top w:val="single" w:sz="8" w:space="0" w:color="92D050"/>
              <w:left w:val="nil"/>
              <w:bottom w:val="single" w:sz="8" w:space="0" w:color="92D050"/>
              <w:right w:val="single" w:sz="8" w:space="0" w:color="92D050"/>
            </w:tcBorders>
            <w:shd w:val="clear" w:color="auto" w:fill="E6E6E6"/>
            <w:tcMar>
              <w:top w:w="0" w:type="dxa"/>
              <w:left w:w="108" w:type="dxa"/>
              <w:bottom w:w="0" w:type="dxa"/>
              <w:right w:w="108" w:type="dxa"/>
            </w:tcMar>
            <w:vAlign w:val="center"/>
            <w:hideMark/>
          </w:tcPr>
          <w:p w14:paraId="1443A801"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b/>
                <w:bCs/>
                <w:color w:val="000000"/>
                <w:sz w:val="18"/>
                <w:szCs w:val="18"/>
              </w:rPr>
              <w:t>channel bandwidths</w:t>
            </w:r>
            <w:r w:rsidRPr="00BE1723">
              <w:rPr>
                <w:rFonts w:asciiTheme="minorHAnsi" w:hAnsiTheme="minorHAnsi" w:cstheme="minorHAnsi"/>
                <w:b/>
                <w:bCs/>
                <w:color w:val="000000"/>
                <w:sz w:val="18"/>
                <w:szCs w:val="18"/>
              </w:rPr>
              <w:br/>
              <w:t>for carrier [MHz]</w:t>
            </w:r>
          </w:p>
        </w:tc>
        <w:tc>
          <w:tcPr>
            <w:tcW w:w="1170" w:type="dxa"/>
            <w:tcBorders>
              <w:top w:val="single" w:sz="8" w:space="0" w:color="92D050"/>
              <w:left w:val="nil"/>
              <w:bottom w:val="single" w:sz="8" w:space="0" w:color="92D050"/>
              <w:right w:val="single" w:sz="8" w:space="0" w:color="92D050"/>
            </w:tcBorders>
            <w:shd w:val="clear" w:color="auto" w:fill="E6E6E6"/>
            <w:tcMar>
              <w:top w:w="0" w:type="dxa"/>
              <w:left w:w="108" w:type="dxa"/>
              <w:bottom w:w="0" w:type="dxa"/>
              <w:right w:w="108" w:type="dxa"/>
            </w:tcMar>
            <w:vAlign w:val="center"/>
            <w:hideMark/>
          </w:tcPr>
          <w:p w14:paraId="2852E42F"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b/>
                <w:bCs/>
                <w:color w:val="000000"/>
                <w:sz w:val="18"/>
                <w:szCs w:val="18"/>
              </w:rPr>
              <w:t xml:space="preserve">Maximum aggregated </w:t>
            </w:r>
            <w:r w:rsidRPr="00BE1723">
              <w:rPr>
                <w:rFonts w:asciiTheme="minorHAnsi" w:hAnsiTheme="minorHAnsi" w:cstheme="minorHAnsi"/>
                <w:b/>
                <w:bCs/>
                <w:color w:val="000000"/>
                <w:sz w:val="18"/>
                <w:szCs w:val="18"/>
              </w:rPr>
              <w:br/>
              <w:t>bandwidth</w:t>
            </w:r>
          </w:p>
        </w:tc>
        <w:tc>
          <w:tcPr>
            <w:tcW w:w="1080" w:type="dxa"/>
            <w:tcBorders>
              <w:top w:val="single" w:sz="8" w:space="0" w:color="92D050"/>
              <w:left w:val="nil"/>
              <w:bottom w:val="single" w:sz="8" w:space="0" w:color="92D050"/>
              <w:right w:val="single" w:sz="8" w:space="0" w:color="92D050"/>
            </w:tcBorders>
            <w:shd w:val="clear" w:color="auto" w:fill="E6E6E6"/>
            <w:tcMar>
              <w:top w:w="0" w:type="dxa"/>
              <w:left w:w="108" w:type="dxa"/>
              <w:bottom w:w="0" w:type="dxa"/>
              <w:right w:w="108" w:type="dxa"/>
            </w:tcMar>
            <w:vAlign w:val="center"/>
            <w:hideMark/>
          </w:tcPr>
          <w:p w14:paraId="0F08A055"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b/>
                <w:bCs/>
                <w:color w:val="000000"/>
                <w:sz w:val="18"/>
                <w:szCs w:val="18"/>
              </w:rPr>
              <w:t>Bandwidth combination set</w:t>
            </w:r>
          </w:p>
        </w:tc>
      </w:tr>
      <w:tr w:rsidR="00BE1723" w:rsidRPr="00BE1723" w14:paraId="15D6613F" w14:textId="77777777" w:rsidTr="00BE1723">
        <w:trPr>
          <w:trHeight w:val="64"/>
        </w:trPr>
        <w:tc>
          <w:tcPr>
            <w:tcW w:w="1221" w:type="dxa"/>
            <w:tcBorders>
              <w:top w:val="nil"/>
              <w:left w:val="single" w:sz="8" w:space="0" w:color="92D050"/>
              <w:bottom w:val="single" w:sz="8" w:space="0" w:color="92D050"/>
              <w:right w:val="single" w:sz="8" w:space="0" w:color="92D050"/>
            </w:tcBorders>
            <w:noWrap/>
            <w:tcMar>
              <w:top w:w="0" w:type="dxa"/>
              <w:left w:w="108" w:type="dxa"/>
              <w:bottom w:w="0" w:type="dxa"/>
              <w:right w:w="108" w:type="dxa"/>
            </w:tcMar>
            <w:vAlign w:val="center"/>
            <w:hideMark/>
          </w:tcPr>
          <w:p w14:paraId="44C86136"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CA_n66(2A)</w:t>
            </w:r>
          </w:p>
        </w:tc>
        <w:tc>
          <w:tcPr>
            <w:tcW w:w="1293" w:type="dxa"/>
            <w:tcBorders>
              <w:top w:val="nil"/>
              <w:left w:val="nil"/>
              <w:bottom w:val="single" w:sz="8" w:space="0" w:color="92D050"/>
              <w:right w:val="single" w:sz="8" w:space="0" w:color="92D050"/>
            </w:tcBorders>
            <w:noWrap/>
            <w:tcMar>
              <w:top w:w="0" w:type="dxa"/>
              <w:left w:w="108" w:type="dxa"/>
              <w:bottom w:w="0" w:type="dxa"/>
              <w:right w:w="108" w:type="dxa"/>
            </w:tcMar>
            <w:vAlign w:val="center"/>
            <w:hideMark/>
          </w:tcPr>
          <w:p w14:paraId="564628D6"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CA_n66(2A)</w:t>
            </w:r>
          </w:p>
        </w:tc>
        <w:tc>
          <w:tcPr>
            <w:tcW w:w="1529" w:type="dxa"/>
            <w:tcBorders>
              <w:top w:val="nil"/>
              <w:left w:val="nil"/>
              <w:bottom w:val="single" w:sz="8" w:space="0" w:color="92D050"/>
              <w:right w:val="single" w:sz="8" w:space="0" w:color="92D050"/>
            </w:tcBorders>
            <w:noWrap/>
            <w:tcMar>
              <w:top w:w="0" w:type="dxa"/>
              <w:left w:w="108" w:type="dxa"/>
              <w:bottom w:w="0" w:type="dxa"/>
              <w:right w:w="108" w:type="dxa"/>
            </w:tcMar>
            <w:vAlign w:val="center"/>
            <w:hideMark/>
          </w:tcPr>
          <w:p w14:paraId="5C9979E0"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5, 10, 15, 20, 40</w:t>
            </w:r>
          </w:p>
        </w:tc>
        <w:tc>
          <w:tcPr>
            <w:tcW w:w="1530" w:type="dxa"/>
            <w:tcBorders>
              <w:top w:val="nil"/>
              <w:left w:val="nil"/>
              <w:bottom w:val="single" w:sz="8" w:space="0" w:color="92D050"/>
              <w:right w:val="single" w:sz="8" w:space="0" w:color="92D050"/>
            </w:tcBorders>
            <w:noWrap/>
            <w:tcMar>
              <w:top w:w="0" w:type="dxa"/>
              <w:left w:w="108" w:type="dxa"/>
              <w:bottom w:w="0" w:type="dxa"/>
              <w:right w:w="108" w:type="dxa"/>
            </w:tcMar>
            <w:vAlign w:val="center"/>
            <w:hideMark/>
          </w:tcPr>
          <w:p w14:paraId="06E561F1"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5, 10, 15, 20, 40</w:t>
            </w:r>
          </w:p>
        </w:tc>
        <w:tc>
          <w:tcPr>
            <w:tcW w:w="1710" w:type="dxa"/>
            <w:tcBorders>
              <w:top w:val="nil"/>
              <w:left w:val="nil"/>
              <w:bottom w:val="single" w:sz="8" w:space="0" w:color="92D050"/>
              <w:right w:val="single" w:sz="8" w:space="0" w:color="92D050"/>
            </w:tcBorders>
            <w:noWrap/>
            <w:tcMar>
              <w:top w:w="0" w:type="dxa"/>
              <w:left w:w="108" w:type="dxa"/>
              <w:bottom w:w="0" w:type="dxa"/>
              <w:right w:w="108" w:type="dxa"/>
            </w:tcMar>
            <w:vAlign w:val="center"/>
            <w:hideMark/>
          </w:tcPr>
          <w:p w14:paraId="28EB0CAE"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 </w:t>
            </w:r>
          </w:p>
        </w:tc>
        <w:tc>
          <w:tcPr>
            <w:tcW w:w="1170" w:type="dxa"/>
            <w:tcBorders>
              <w:top w:val="nil"/>
              <w:left w:val="nil"/>
              <w:bottom w:val="single" w:sz="8" w:space="0" w:color="92D050"/>
              <w:right w:val="single" w:sz="8" w:space="0" w:color="92D050"/>
            </w:tcBorders>
            <w:noWrap/>
            <w:tcMar>
              <w:top w:w="0" w:type="dxa"/>
              <w:left w:w="108" w:type="dxa"/>
              <w:bottom w:w="0" w:type="dxa"/>
              <w:right w:w="108" w:type="dxa"/>
            </w:tcMar>
            <w:vAlign w:val="center"/>
            <w:hideMark/>
          </w:tcPr>
          <w:p w14:paraId="6E215616"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80</w:t>
            </w:r>
          </w:p>
        </w:tc>
        <w:tc>
          <w:tcPr>
            <w:tcW w:w="1080" w:type="dxa"/>
            <w:tcBorders>
              <w:top w:val="nil"/>
              <w:left w:val="nil"/>
              <w:bottom w:val="single" w:sz="8" w:space="0" w:color="92D050"/>
              <w:right w:val="single" w:sz="8" w:space="0" w:color="92D050"/>
            </w:tcBorders>
            <w:noWrap/>
            <w:tcMar>
              <w:top w:w="0" w:type="dxa"/>
              <w:left w:w="108" w:type="dxa"/>
              <w:bottom w:w="0" w:type="dxa"/>
              <w:right w:w="108" w:type="dxa"/>
            </w:tcMar>
            <w:vAlign w:val="center"/>
            <w:hideMark/>
          </w:tcPr>
          <w:p w14:paraId="0FF06EC6"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2</w:t>
            </w:r>
          </w:p>
        </w:tc>
      </w:tr>
      <w:tr w:rsidR="00BE1723" w:rsidRPr="00BE1723" w14:paraId="0411D956" w14:textId="77777777" w:rsidTr="00BE1723">
        <w:trPr>
          <w:trHeight w:val="64"/>
        </w:trPr>
        <w:tc>
          <w:tcPr>
            <w:tcW w:w="1221" w:type="dxa"/>
            <w:tcBorders>
              <w:top w:val="nil"/>
              <w:left w:val="single" w:sz="8" w:space="0" w:color="92D050"/>
              <w:bottom w:val="single" w:sz="8" w:space="0" w:color="92D050"/>
              <w:right w:val="single" w:sz="8" w:space="0" w:color="92D050"/>
            </w:tcBorders>
            <w:noWrap/>
            <w:tcMar>
              <w:top w:w="0" w:type="dxa"/>
              <w:left w:w="108" w:type="dxa"/>
              <w:bottom w:w="0" w:type="dxa"/>
              <w:right w:w="108" w:type="dxa"/>
            </w:tcMar>
            <w:vAlign w:val="center"/>
            <w:hideMark/>
          </w:tcPr>
          <w:p w14:paraId="5C5D7405"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CA_n66(3A)</w:t>
            </w:r>
          </w:p>
        </w:tc>
        <w:tc>
          <w:tcPr>
            <w:tcW w:w="1293" w:type="dxa"/>
            <w:tcBorders>
              <w:top w:val="nil"/>
              <w:left w:val="nil"/>
              <w:bottom w:val="single" w:sz="8" w:space="0" w:color="92D050"/>
              <w:right w:val="single" w:sz="8" w:space="0" w:color="92D050"/>
            </w:tcBorders>
            <w:noWrap/>
            <w:tcMar>
              <w:top w:w="0" w:type="dxa"/>
              <w:left w:w="108" w:type="dxa"/>
              <w:bottom w:w="0" w:type="dxa"/>
              <w:right w:w="108" w:type="dxa"/>
            </w:tcMar>
            <w:vAlign w:val="center"/>
            <w:hideMark/>
          </w:tcPr>
          <w:p w14:paraId="0838BE42"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CA_n66(2A)</w:t>
            </w:r>
          </w:p>
        </w:tc>
        <w:tc>
          <w:tcPr>
            <w:tcW w:w="1529" w:type="dxa"/>
            <w:tcBorders>
              <w:top w:val="nil"/>
              <w:left w:val="nil"/>
              <w:bottom w:val="single" w:sz="8" w:space="0" w:color="92D050"/>
              <w:right w:val="single" w:sz="8" w:space="0" w:color="92D050"/>
            </w:tcBorders>
            <w:noWrap/>
            <w:tcMar>
              <w:top w:w="0" w:type="dxa"/>
              <w:left w:w="108" w:type="dxa"/>
              <w:bottom w:w="0" w:type="dxa"/>
              <w:right w:w="108" w:type="dxa"/>
            </w:tcMar>
            <w:vAlign w:val="center"/>
            <w:hideMark/>
          </w:tcPr>
          <w:p w14:paraId="03E7A6AC"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 xml:space="preserve">5, 10, 15, 20, </w:t>
            </w:r>
            <w:r w:rsidRPr="00BE1723">
              <w:rPr>
                <w:rFonts w:asciiTheme="minorHAnsi" w:hAnsiTheme="minorHAnsi" w:cstheme="minorHAnsi"/>
                <w:sz w:val="18"/>
                <w:szCs w:val="18"/>
                <w:highlight w:val="yellow"/>
              </w:rPr>
              <w:t>40</w:t>
            </w:r>
          </w:p>
        </w:tc>
        <w:tc>
          <w:tcPr>
            <w:tcW w:w="1530" w:type="dxa"/>
            <w:tcBorders>
              <w:top w:val="nil"/>
              <w:left w:val="nil"/>
              <w:bottom w:val="single" w:sz="8" w:space="0" w:color="92D050"/>
              <w:right w:val="single" w:sz="8" w:space="0" w:color="92D050"/>
            </w:tcBorders>
            <w:noWrap/>
            <w:tcMar>
              <w:top w:w="0" w:type="dxa"/>
              <w:left w:w="108" w:type="dxa"/>
              <w:bottom w:w="0" w:type="dxa"/>
              <w:right w:w="108" w:type="dxa"/>
            </w:tcMar>
            <w:vAlign w:val="center"/>
            <w:hideMark/>
          </w:tcPr>
          <w:p w14:paraId="68F1CCE7"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 xml:space="preserve">5, 10, 15, 20, </w:t>
            </w:r>
            <w:r w:rsidRPr="00CE5959">
              <w:rPr>
                <w:rFonts w:asciiTheme="minorHAnsi" w:hAnsiTheme="minorHAnsi" w:cstheme="minorHAnsi"/>
                <w:sz w:val="18"/>
                <w:szCs w:val="18"/>
                <w:highlight w:val="yellow"/>
              </w:rPr>
              <w:t>40</w:t>
            </w:r>
          </w:p>
        </w:tc>
        <w:tc>
          <w:tcPr>
            <w:tcW w:w="1710" w:type="dxa"/>
            <w:tcBorders>
              <w:top w:val="nil"/>
              <w:left w:val="nil"/>
              <w:bottom w:val="single" w:sz="8" w:space="0" w:color="92D050"/>
              <w:right w:val="single" w:sz="8" w:space="0" w:color="92D050"/>
            </w:tcBorders>
            <w:noWrap/>
            <w:tcMar>
              <w:top w:w="0" w:type="dxa"/>
              <w:left w:w="108" w:type="dxa"/>
              <w:bottom w:w="0" w:type="dxa"/>
              <w:right w:w="108" w:type="dxa"/>
            </w:tcMar>
            <w:vAlign w:val="center"/>
            <w:hideMark/>
          </w:tcPr>
          <w:p w14:paraId="1F4EB181"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5, 10, 15, 20, 40</w:t>
            </w:r>
          </w:p>
        </w:tc>
        <w:tc>
          <w:tcPr>
            <w:tcW w:w="1170" w:type="dxa"/>
            <w:tcBorders>
              <w:top w:val="nil"/>
              <w:left w:val="nil"/>
              <w:bottom w:val="single" w:sz="8" w:space="0" w:color="92D050"/>
              <w:right w:val="single" w:sz="8" w:space="0" w:color="92D050"/>
            </w:tcBorders>
            <w:noWrap/>
            <w:tcMar>
              <w:top w:w="0" w:type="dxa"/>
              <w:left w:w="108" w:type="dxa"/>
              <w:bottom w:w="0" w:type="dxa"/>
              <w:right w:w="108" w:type="dxa"/>
            </w:tcMar>
            <w:vAlign w:val="center"/>
            <w:hideMark/>
          </w:tcPr>
          <w:p w14:paraId="54640EE3"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80</w:t>
            </w:r>
          </w:p>
        </w:tc>
        <w:tc>
          <w:tcPr>
            <w:tcW w:w="1080" w:type="dxa"/>
            <w:tcBorders>
              <w:top w:val="nil"/>
              <w:left w:val="nil"/>
              <w:bottom w:val="single" w:sz="8" w:space="0" w:color="92D050"/>
              <w:right w:val="single" w:sz="8" w:space="0" w:color="92D050"/>
            </w:tcBorders>
            <w:noWrap/>
            <w:tcMar>
              <w:top w:w="0" w:type="dxa"/>
              <w:left w:w="108" w:type="dxa"/>
              <w:bottom w:w="0" w:type="dxa"/>
              <w:right w:w="108" w:type="dxa"/>
            </w:tcMar>
            <w:vAlign w:val="center"/>
            <w:hideMark/>
          </w:tcPr>
          <w:p w14:paraId="1D9BFBA6" w14:textId="77777777" w:rsidR="00BE1723" w:rsidRPr="00BE1723" w:rsidRDefault="00BE1723" w:rsidP="00BE1723">
            <w:pPr>
              <w:spacing w:after="0"/>
              <w:jc w:val="center"/>
              <w:rPr>
                <w:rFonts w:asciiTheme="minorHAnsi" w:hAnsiTheme="minorHAnsi" w:cstheme="minorHAnsi"/>
                <w:sz w:val="22"/>
                <w:szCs w:val="22"/>
              </w:rPr>
            </w:pPr>
            <w:r w:rsidRPr="00BE1723">
              <w:rPr>
                <w:rFonts w:asciiTheme="minorHAnsi" w:hAnsiTheme="minorHAnsi" w:cstheme="minorHAnsi"/>
                <w:sz w:val="18"/>
                <w:szCs w:val="18"/>
              </w:rPr>
              <w:t>0</w:t>
            </w:r>
          </w:p>
        </w:tc>
      </w:tr>
    </w:tbl>
    <w:p w14:paraId="4966657E" w14:textId="3CE89921" w:rsidR="00BE1723" w:rsidRDefault="00BE1723" w:rsidP="00CE5959">
      <w:pPr>
        <w:spacing w:after="0"/>
        <w:rPr>
          <w:rFonts w:eastAsiaTheme="minorEastAsia"/>
          <w:lang w:val="en-US"/>
        </w:rPr>
      </w:pPr>
    </w:p>
    <w:p w14:paraId="02C2FF8F" w14:textId="3F21F766" w:rsidR="00BE1723" w:rsidRPr="00CE5959" w:rsidRDefault="00BE1723" w:rsidP="00BE1723">
      <w:r w:rsidRPr="00CE5959">
        <w:t>The current n66(</w:t>
      </w:r>
      <w:proofErr w:type="spellStart"/>
      <w:r w:rsidRPr="00CE5959">
        <w:t>xA</w:t>
      </w:r>
      <w:proofErr w:type="spellEnd"/>
      <w:r w:rsidRPr="00CE5959">
        <w:t xml:space="preserve">) cases in the specification </w:t>
      </w:r>
      <w:r w:rsidR="00CC584D">
        <w:t>are</w:t>
      </w:r>
      <w:r w:rsidRPr="00CE5959">
        <w:t xml:space="preserve"> copied in the table below.</w:t>
      </w:r>
    </w:p>
    <w:tbl>
      <w:tblPr>
        <w:tblW w:w="10951" w:type="dxa"/>
        <w:tblCellMar>
          <w:left w:w="0" w:type="dxa"/>
          <w:right w:w="0" w:type="dxa"/>
        </w:tblCellMar>
        <w:tblLook w:val="04A0" w:firstRow="1" w:lastRow="0" w:firstColumn="1" w:lastColumn="0" w:noHBand="0" w:noVBand="1"/>
      </w:tblPr>
      <w:tblGrid>
        <w:gridCol w:w="1241"/>
        <w:gridCol w:w="1359"/>
        <w:gridCol w:w="1980"/>
        <w:gridCol w:w="1980"/>
        <w:gridCol w:w="1440"/>
        <w:gridCol w:w="1516"/>
        <w:gridCol w:w="1435"/>
      </w:tblGrid>
      <w:tr w:rsidR="00CE5959" w:rsidRPr="00CE5959" w14:paraId="311AEA61" w14:textId="77777777" w:rsidTr="00CE5959">
        <w:trPr>
          <w:trHeight w:val="187"/>
        </w:trPr>
        <w:tc>
          <w:tcPr>
            <w:tcW w:w="12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D2C5ED" w14:textId="77777777" w:rsidR="00CE5959" w:rsidRPr="00CE5959" w:rsidRDefault="00CE5959">
            <w:pPr>
              <w:pStyle w:val="TAH"/>
              <w:rPr>
                <w:rFonts w:asciiTheme="minorHAnsi" w:hAnsiTheme="minorHAnsi" w:cstheme="minorHAnsi"/>
                <w:szCs w:val="18"/>
              </w:rPr>
            </w:pPr>
            <w:r w:rsidRPr="00CE5959">
              <w:rPr>
                <w:rFonts w:asciiTheme="minorHAnsi" w:hAnsiTheme="minorHAnsi" w:cstheme="minorHAnsi"/>
                <w:szCs w:val="18"/>
              </w:rPr>
              <w:t>NR </w:t>
            </w:r>
            <w:r w:rsidRPr="00CE5959">
              <w:rPr>
                <w:rFonts w:asciiTheme="minorHAnsi" w:hAnsiTheme="minorHAnsi" w:cstheme="minorHAnsi"/>
                <w:szCs w:val="18"/>
                <w:lang w:val="fi-FI"/>
              </w:rPr>
              <w:t xml:space="preserve">CA </w:t>
            </w:r>
            <w:r w:rsidRPr="00CE5959">
              <w:rPr>
                <w:rFonts w:asciiTheme="minorHAnsi" w:hAnsiTheme="minorHAnsi" w:cstheme="minorHAnsi"/>
                <w:szCs w:val="18"/>
              </w:rPr>
              <w:t>Configuration</w:t>
            </w:r>
          </w:p>
        </w:tc>
        <w:tc>
          <w:tcPr>
            <w:tcW w:w="1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FD8AF" w14:textId="77777777" w:rsidR="00CE5959" w:rsidRPr="00CE5959" w:rsidRDefault="00CE5959">
            <w:pPr>
              <w:pStyle w:val="TAH"/>
              <w:rPr>
                <w:rFonts w:asciiTheme="minorHAnsi" w:hAnsiTheme="minorHAnsi" w:cstheme="minorHAnsi"/>
                <w:szCs w:val="18"/>
              </w:rPr>
            </w:pPr>
            <w:r w:rsidRPr="00CE5959">
              <w:rPr>
                <w:rFonts w:asciiTheme="minorHAnsi" w:hAnsiTheme="minorHAnsi" w:cstheme="minorHAnsi"/>
                <w:szCs w:val="18"/>
              </w:rPr>
              <w:t xml:space="preserve">Uplink </w:t>
            </w:r>
            <w:r w:rsidRPr="00CE5959">
              <w:rPr>
                <w:rFonts w:asciiTheme="minorHAnsi" w:hAnsiTheme="minorHAnsi" w:cstheme="minorHAnsi"/>
                <w:szCs w:val="18"/>
                <w:lang w:eastAsia="zh-CN"/>
              </w:rPr>
              <w:t xml:space="preserve">CA </w:t>
            </w:r>
            <w:r w:rsidRPr="00CE5959">
              <w:rPr>
                <w:rFonts w:asciiTheme="minorHAnsi" w:hAnsiTheme="minorHAnsi" w:cstheme="minorHAnsi"/>
                <w:szCs w:val="18"/>
              </w:rPr>
              <w:t>Configurations or single uplink carrier</w:t>
            </w:r>
            <w:r w:rsidRPr="00CE5959">
              <w:rPr>
                <w:rFonts w:asciiTheme="minorHAnsi" w:hAnsiTheme="minorHAnsi" w:cstheme="minorHAnsi"/>
                <w:szCs w:val="18"/>
                <w:vertAlign w:val="superscript"/>
                <w:lang w:eastAsia="zh-CN"/>
              </w:rPr>
              <w:t>5</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89C46" w14:textId="77777777" w:rsidR="00CE5959" w:rsidRPr="00CE5959" w:rsidRDefault="00CE5959">
            <w:pPr>
              <w:pStyle w:val="TAH"/>
              <w:rPr>
                <w:rFonts w:asciiTheme="minorHAnsi" w:hAnsiTheme="minorHAnsi" w:cstheme="minorHAnsi"/>
                <w:szCs w:val="18"/>
              </w:rPr>
            </w:pPr>
            <w:r w:rsidRPr="00CE5959">
              <w:rPr>
                <w:rFonts w:asciiTheme="minorHAnsi" w:hAnsiTheme="minorHAnsi" w:cstheme="minorHAnsi"/>
                <w:szCs w:val="18"/>
              </w:rPr>
              <w:t>Channel bandwidths</w:t>
            </w:r>
          </w:p>
          <w:p w14:paraId="0BFFF616" w14:textId="77777777" w:rsidR="00CE5959" w:rsidRPr="00CE5959" w:rsidRDefault="00CE5959">
            <w:pPr>
              <w:pStyle w:val="TAH"/>
              <w:rPr>
                <w:rFonts w:asciiTheme="minorHAnsi" w:hAnsiTheme="minorHAnsi" w:cstheme="minorHAnsi"/>
                <w:szCs w:val="18"/>
              </w:rPr>
            </w:pPr>
            <w:r w:rsidRPr="00CE5959">
              <w:rPr>
                <w:rFonts w:asciiTheme="minorHAnsi" w:hAnsiTheme="minorHAnsi" w:cstheme="minorHAnsi"/>
                <w:szCs w:val="18"/>
              </w:rPr>
              <w:t>for carrier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90567F" w14:textId="77777777" w:rsidR="00CE5959" w:rsidRPr="00CE5959" w:rsidRDefault="00CE5959">
            <w:pPr>
              <w:pStyle w:val="TAH"/>
              <w:rPr>
                <w:rFonts w:asciiTheme="minorHAnsi" w:hAnsiTheme="minorHAnsi" w:cstheme="minorHAnsi"/>
                <w:szCs w:val="18"/>
              </w:rPr>
            </w:pPr>
            <w:r w:rsidRPr="00CE5959">
              <w:rPr>
                <w:rFonts w:asciiTheme="minorHAnsi" w:hAnsiTheme="minorHAnsi" w:cstheme="minorHAnsi"/>
                <w:szCs w:val="18"/>
              </w:rPr>
              <w:t>Channel bandwidths</w:t>
            </w:r>
          </w:p>
          <w:p w14:paraId="3D53424B" w14:textId="77777777" w:rsidR="00CE5959" w:rsidRPr="00CE5959" w:rsidRDefault="00CE5959">
            <w:pPr>
              <w:pStyle w:val="TAH"/>
              <w:rPr>
                <w:rFonts w:asciiTheme="minorHAnsi" w:hAnsiTheme="minorHAnsi" w:cstheme="minorHAnsi"/>
                <w:szCs w:val="18"/>
              </w:rPr>
            </w:pPr>
            <w:r w:rsidRPr="00CE5959">
              <w:rPr>
                <w:rFonts w:asciiTheme="minorHAnsi" w:hAnsiTheme="minorHAnsi" w:cstheme="minorHAnsi"/>
                <w:szCs w:val="18"/>
              </w:rPr>
              <w:t>for carrier (MHz)</w:t>
            </w:r>
          </w:p>
        </w:tc>
        <w:tc>
          <w:tcPr>
            <w:tcW w:w="1440" w:type="dxa"/>
            <w:tcBorders>
              <w:top w:val="single" w:sz="8" w:space="0" w:color="auto"/>
              <w:left w:val="nil"/>
              <w:bottom w:val="single" w:sz="8" w:space="0" w:color="auto"/>
              <w:right w:val="single" w:sz="8" w:space="0" w:color="auto"/>
            </w:tcBorders>
            <w:hideMark/>
          </w:tcPr>
          <w:p w14:paraId="3E231056" w14:textId="77777777" w:rsidR="00CE5959" w:rsidRPr="00CE5959" w:rsidRDefault="00CE5959">
            <w:pPr>
              <w:pStyle w:val="TAH"/>
              <w:rPr>
                <w:rFonts w:asciiTheme="minorHAnsi" w:hAnsiTheme="minorHAnsi" w:cstheme="minorHAnsi"/>
                <w:szCs w:val="18"/>
              </w:rPr>
            </w:pPr>
            <w:r w:rsidRPr="00CE5959">
              <w:rPr>
                <w:rFonts w:asciiTheme="minorHAnsi" w:hAnsiTheme="minorHAnsi" w:cstheme="minorHAnsi"/>
                <w:szCs w:val="18"/>
              </w:rPr>
              <w:t xml:space="preserve">Channel bandwidths </w:t>
            </w:r>
          </w:p>
          <w:p w14:paraId="62368BF5" w14:textId="77777777" w:rsidR="00CE5959" w:rsidRPr="00CE5959" w:rsidRDefault="00CE5959">
            <w:pPr>
              <w:pStyle w:val="TAH"/>
              <w:rPr>
                <w:rFonts w:asciiTheme="minorHAnsi" w:hAnsiTheme="minorHAnsi" w:cstheme="minorHAnsi"/>
                <w:szCs w:val="18"/>
              </w:rPr>
            </w:pPr>
            <w:r w:rsidRPr="00CE5959">
              <w:rPr>
                <w:rFonts w:asciiTheme="minorHAnsi" w:hAnsiTheme="minorHAnsi" w:cstheme="minorHAnsi"/>
                <w:szCs w:val="18"/>
              </w:rPr>
              <w:t>for carrier (MHz)</w:t>
            </w:r>
          </w:p>
        </w:tc>
        <w:tc>
          <w:tcPr>
            <w:tcW w:w="15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CB1F7" w14:textId="77777777" w:rsidR="00CE5959" w:rsidRPr="00CE5959" w:rsidRDefault="00CE5959">
            <w:pPr>
              <w:pStyle w:val="TAH"/>
              <w:rPr>
                <w:rFonts w:asciiTheme="minorHAnsi" w:hAnsiTheme="minorHAnsi" w:cstheme="minorHAnsi"/>
                <w:szCs w:val="18"/>
              </w:rPr>
            </w:pPr>
            <w:r w:rsidRPr="00CE5959">
              <w:rPr>
                <w:rFonts w:asciiTheme="minorHAnsi" w:hAnsiTheme="minorHAnsi" w:cstheme="minorHAnsi"/>
                <w:szCs w:val="18"/>
                <w:lang w:val="fi-FI"/>
              </w:rPr>
              <w:t>Maximum</w:t>
            </w:r>
          </w:p>
          <w:p w14:paraId="03545163" w14:textId="77777777" w:rsidR="00CE5959" w:rsidRPr="00CE5959" w:rsidRDefault="00CE5959">
            <w:pPr>
              <w:pStyle w:val="TAH"/>
              <w:rPr>
                <w:rFonts w:asciiTheme="minorHAnsi" w:hAnsiTheme="minorHAnsi" w:cstheme="minorHAnsi"/>
                <w:szCs w:val="18"/>
              </w:rPr>
            </w:pPr>
            <w:r w:rsidRPr="00CE5959">
              <w:rPr>
                <w:rFonts w:asciiTheme="minorHAnsi" w:hAnsiTheme="minorHAnsi" w:cstheme="minorHAnsi"/>
                <w:szCs w:val="18"/>
                <w:lang w:val="fi-FI"/>
              </w:rPr>
              <w:t>A</w:t>
            </w:r>
            <w:proofErr w:type="spellStart"/>
            <w:r w:rsidRPr="00CE5959">
              <w:rPr>
                <w:rFonts w:asciiTheme="minorHAnsi" w:hAnsiTheme="minorHAnsi" w:cstheme="minorHAnsi"/>
                <w:szCs w:val="18"/>
              </w:rPr>
              <w:t>ggregated</w:t>
            </w:r>
            <w:proofErr w:type="spellEnd"/>
            <w:r w:rsidRPr="00CE5959">
              <w:rPr>
                <w:rFonts w:asciiTheme="minorHAnsi" w:hAnsiTheme="minorHAnsi" w:cstheme="minorHAnsi"/>
                <w:szCs w:val="18"/>
              </w:rPr>
              <w:t xml:space="preserve"> bandwidth</w:t>
            </w:r>
          </w:p>
          <w:p w14:paraId="54C2F1CB" w14:textId="77777777" w:rsidR="00CE5959" w:rsidRPr="00CE5959" w:rsidRDefault="00CE5959">
            <w:pPr>
              <w:pStyle w:val="TAH"/>
              <w:rPr>
                <w:rFonts w:asciiTheme="minorHAnsi" w:hAnsiTheme="minorHAnsi" w:cstheme="minorHAnsi"/>
                <w:szCs w:val="18"/>
              </w:rPr>
            </w:pPr>
            <w:r w:rsidRPr="00CE5959">
              <w:rPr>
                <w:rFonts w:asciiTheme="minorHAnsi" w:hAnsiTheme="minorHAnsi" w:cstheme="minorHAnsi"/>
                <w:szCs w:val="18"/>
              </w:rPr>
              <w:t>(MHz)</w:t>
            </w:r>
          </w:p>
        </w:tc>
        <w:tc>
          <w:tcPr>
            <w:tcW w:w="14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2E6BE" w14:textId="77777777" w:rsidR="00CE5959" w:rsidRPr="00CE5959" w:rsidRDefault="00CE5959">
            <w:pPr>
              <w:pStyle w:val="TAH"/>
              <w:rPr>
                <w:rFonts w:asciiTheme="minorHAnsi" w:hAnsiTheme="minorHAnsi" w:cstheme="minorHAnsi"/>
                <w:szCs w:val="18"/>
              </w:rPr>
            </w:pPr>
            <w:r w:rsidRPr="00CE5959">
              <w:rPr>
                <w:rFonts w:asciiTheme="minorHAnsi" w:hAnsiTheme="minorHAnsi" w:cstheme="minorHAnsi"/>
                <w:szCs w:val="18"/>
                <w:lang w:val="fi-FI"/>
              </w:rPr>
              <w:t>Bandwidth combination set</w:t>
            </w:r>
          </w:p>
        </w:tc>
      </w:tr>
      <w:tr w:rsidR="00CE5959" w:rsidRPr="00CE5959" w14:paraId="6C0AC8F6" w14:textId="77777777" w:rsidTr="00CE5959">
        <w:trPr>
          <w:trHeight w:val="187"/>
        </w:trPr>
        <w:tc>
          <w:tcPr>
            <w:tcW w:w="1241" w:type="dxa"/>
            <w:tcBorders>
              <w:top w:val="nil"/>
              <w:left w:val="single" w:sz="8" w:space="0" w:color="auto"/>
              <w:bottom w:val="nil"/>
              <w:right w:val="single" w:sz="8" w:space="0" w:color="auto"/>
            </w:tcBorders>
            <w:tcMar>
              <w:top w:w="0" w:type="dxa"/>
              <w:left w:w="108" w:type="dxa"/>
              <w:bottom w:w="0" w:type="dxa"/>
              <w:right w:w="108" w:type="dxa"/>
            </w:tcMar>
            <w:hideMark/>
          </w:tcPr>
          <w:p w14:paraId="709E5F88"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CA_n66(2A)</w:t>
            </w:r>
          </w:p>
        </w:tc>
        <w:tc>
          <w:tcPr>
            <w:tcW w:w="1359" w:type="dxa"/>
            <w:tcBorders>
              <w:top w:val="nil"/>
              <w:left w:val="nil"/>
              <w:bottom w:val="nil"/>
              <w:right w:val="single" w:sz="8" w:space="0" w:color="auto"/>
            </w:tcBorders>
            <w:tcMar>
              <w:top w:w="0" w:type="dxa"/>
              <w:left w:w="108" w:type="dxa"/>
              <w:bottom w:w="0" w:type="dxa"/>
              <w:right w:w="108" w:type="dxa"/>
            </w:tcMar>
            <w:hideMark/>
          </w:tcPr>
          <w:p w14:paraId="06C3CB83"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n66</w:t>
            </w:r>
            <w:r w:rsidRPr="00CE5959">
              <w:rPr>
                <w:rFonts w:asciiTheme="minorHAnsi" w:hAnsiTheme="minorHAnsi" w:cstheme="minorHAnsi"/>
                <w:szCs w:val="18"/>
                <w:vertAlign w:val="superscript"/>
              </w:rPr>
              <w:t>3</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206311AC"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5, 10, 15, 20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13A9A5FD"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5, 10, 15, 20, 40</w:t>
            </w:r>
          </w:p>
        </w:tc>
        <w:tc>
          <w:tcPr>
            <w:tcW w:w="1440" w:type="dxa"/>
            <w:tcBorders>
              <w:top w:val="nil"/>
              <w:left w:val="nil"/>
              <w:bottom w:val="single" w:sz="8" w:space="0" w:color="auto"/>
              <w:right w:val="single" w:sz="8" w:space="0" w:color="auto"/>
            </w:tcBorders>
            <w:hideMark/>
          </w:tcPr>
          <w:p w14:paraId="6E519EB8"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zh-CN"/>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3CCF9BC5"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zh-CN"/>
              </w:rPr>
              <w:t>60</w:t>
            </w:r>
          </w:p>
        </w:tc>
        <w:tc>
          <w:tcPr>
            <w:tcW w:w="1435" w:type="dxa"/>
            <w:tcBorders>
              <w:top w:val="nil"/>
              <w:left w:val="nil"/>
              <w:bottom w:val="single" w:sz="8" w:space="0" w:color="auto"/>
              <w:right w:val="single" w:sz="8" w:space="0" w:color="auto"/>
            </w:tcBorders>
            <w:tcMar>
              <w:top w:w="0" w:type="dxa"/>
              <w:left w:w="108" w:type="dxa"/>
              <w:bottom w:w="0" w:type="dxa"/>
              <w:right w:w="108" w:type="dxa"/>
            </w:tcMar>
            <w:hideMark/>
          </w:tcPr>
          <w:p w14:paraId="0397A7BE"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0</w:t>
            </w:r>
          </w:p>
        </w:tc>
      </w:tr>
      <w:tr w:rsidR="00CE5959" w:rsidRPr="00CE5959" w14:paraId="10615A41" w14:textId="77777777" w:rsidTr="00CE5959">
        <w:trPr>
          <w:trHeight w:val="187"/>
        </w:trPr>
        <w:tc>
          <w:tcPr>
            <w:tcW w:w="1241" w:type="dxa"/>
            <w:tcBorders>
              <w:top w:val="nil"/>
              <w:left w:val="single" w:sz="8" w:space="0" w:color="auto"/>
              <w:bottom w:val="nil"/>
              <w:right w:val="single" w:sz="8" w:space="0" w:color="auto"/>
            </w:tcBorders>
            <w:tcMar>
              <w:top w:w="0" w:type="dxa"/>
              <w:left w:w="108" w:type="dxa"/>
              <w:bottom w:w="0" w:type="dxa"/>
              <w:right w:w="108" w:type="dxa"/>
            </w:tcMar>
            <w:hideMark/>
          </w:tcPr>
          <w:p w14:paraId="74CC7442"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 </w:t>
            </w:r>
          </w:p>
        </w:tc>
        <w:tc>
          <w:tcPr>
            <w:tcW w:w="1359" w:type="dxa"/>
            <w:tcBorders>
              <w:top w:val="nil"/>
              <w:left w:val="nil"/>
              <w:bottom w:val="nil"/>
              <w:right w:val="single" w:sz="8" w:space="0" w:color="auto"/>
            </w:tcBorders>
            <w:tcMar>
              <w:top w:w="0" w:type="dxa"/>
              <w:left w:w="108" w:type="dxa"/>
              <w:bottom w:w="0" w:type="dxa"/>
              <w:right w:w="108" w:type="dxa"/>
            </w:tcMar>
            <w:hideMark/>
          </w:tcPr>
          <w:p w14:paraId="62950195"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96AA9D8"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 xml:space="preserve">5, 10, 15, 20, 25, 30, </w:t>
            </w:r>
            <w:r w:rsidRPr="00CF7742">
              <w:rPr>
                <w:rFonts w:asciiTheme="minorHAnsi" w:hAnsiTheme="minorHAnsi" w:cstheme="minorHAnsi"/>
                <w:szCs w:val="18"/>
              </w:rPr>
              <w:t>40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5C02687B"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5, 10, 15, 20, 25, 30, 40</w:t>
            </w:r>
          </w:p>
        </w:tc>
        <w:tc>
          <w:tcPr>
            <w:tcW w:w="1440" w:type="dxa"/>
            <w:tcBorders>
              <w:top w:val="nil"/>
              <w:left w:val="nil"/>
              <w:bottom w:val="single" w:sz="8" w:space="0" w:color="auto"/>
              <w:right w:val="single" w:sz="8" w:space="0" w:color="auto"/>
            </w:tcBorders>
            <w:hideMark/>
          </w:tcPr>
          <w:p w14:paraId="636F2C8B"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zh-CN"/>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74142731"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zh-CN"/>
              </w:rPr>
              <w:t>80</w:t>
            </w:r>
          </w:p>
        </w:tc>
        <w:tc>
          <w:tcPr>
            <w:tcW w:w="1435" w:type="dxa"/>
            <w:tcBorders>
              <w:top w:val="nil"/>
              <w:left w:val="nil"/>
              <w:bottom w:val="single" w:sz="8" w:space="0" w:color="auto"/>
              <w:right w:val="single" w:sz="8" w:space="0" w:color="auto"/>
            </w:tcBorders>
            <w:tcMar>
              <w:top w:w="0" w:type="dxa"/>
              <w:left w:w="108" w:type="dxa"/>
              <w:bottom w:w="0" w:type="dxa"/>
              <w:right w:w="108" w:type="dxa"/>
            </w:tcMar>
            <w:hideMark/>
          </w:tcPr>
          <w:p w14:paraId="44306A0D"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zh-CN"/>
              </w:rPr>
              <w:t>1</w:t>
            </w:r>
          </w:p>
        </w:tc>
      </w:tr>
      <w:tr w:rsidR="00CE5959" w:rsidRPr="00CE5959" w14:paraId="7D0A076D" w14:textId="77777777" w:rsidTr="00CE5959">
        <w:trPr>
          <w:trHeight w:val="187"/>
        </w:trPr>
        <w:tc>
          <w:tcPr>
            <w:tcW w:w="1241" w:type="dxa"/>
            <w:tcBorders>
              <w:top w:val="nil"/>
              <w:left w:val="single" w:sz="8" w:space="0" w:color="auto"/>
              <w:bottom w:val="nil"/>
              <w:right w:val="single" w:sz="8" w:space="0" w:color="auto"/>
            </w:tcBorders>
            <w:tcMar>
              <w:top w:w="0" w:type="dxa"/>
              <w:left w:w="108" w:type="dxa"/>
              <w:bottom w:w="0" w:type="dxa"/>
              <w:right w:w="108" w:type="dxa"/>
            </w:tcMar>
            <w:hideMark/>
          </w:tcPr>
          <w:p w14:paraId="01D027D0"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 </w:t>
            </w:r>
          </w:p>
        </w:tc>
        <w:tc>
          <w:tcPr>
            <w:tcW w:w="1359" w:type="dxa"/>
            <w:tcBorders>
              <w:top w:val="nil"/>
              <w:left w:val="nil"/>
              <w:bottom w:val="nil"/>
              <w:right w:val="single" w:sz="8" w:space="0" w:color="auto"/>
            </w:tcBorders>
            <w:tcMar>
              <w:top w:w="0" w:type="dxa"/>
              <w:left w:w="108" w:type="dxa"/>
              <w:bottom w:w="0" w:type="dxa"/>
              <w:right w:w="108" w:type="dxa"/>
            </w:tcMar>
            <w:hideMark/>
          </w:tcPr>
          <w:p w14:paraId="299412E2"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30A5240C"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 xml:space="preserve">5, 10, 15, 20, </w:t>
            </w:r>
            <w:r w:rsidRPr="00CF7742">
              <w:rPr>
                <w:rFonts w:asciiTheme="minorHAnsi" w:hAnsiTheme="minorHAnsi" w:cstheme="minorHAnsi"/>
                <w:szCs w:val="18"/>
              </w:rPr>
              <w:t>40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A64B6D4"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5, 10, 15, 20, 40</w:t>
            </w:r>
          </w:p>
        </w:tc>
        <w:tc>
          <w:tcPr>
            <w:tcW w:w="1440" w:type="dxa"/>
            <w:tcBorders>
              <w:top w:val="nil"/>
              <w:left w:val="nil"/>
              <w:bottom w:val="single" w:sz="8" w:space="0" w:color="auto"/>
              <w:right w:val="single" w:sz="8" w:space="0" w:color="auto"/>
            </w:tcBorders>
            <w:hideMark/>
          </w:tcPr>
          <w:p w14:paraId="14C6AE06"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zh-CN"/>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433B9D79"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zh-CN"/>
              </w:rPr>
              <w:t>80</w:t>
            </w:r>
          </w:p>
        </w:tc>
        <w:tc>
          <w:tcPr>
            <w:tcW w:w="1435" w:type="dxa"/>
            <w:tcBorders>
              <w:top w:val="nil"/>
              <w:left w:val="nil"/>
              <w:bottom w:val="single" w:sz="8" w:space="0" w:color="auto"/>
              <w:right w:val="single" w:sz="8" w:space="0" w:color="auto"/>
            </w:tcBorders>
            <w:tcMar>
              <w:top w:w="0" w:type="dxa"/>
              <w:left w:w="108" w:type="dxa"/>
              <w:bottom w:w="0" w:type="dxa"/>
              <w:right w:w="108" w:type="dxa"/>
            </w:tcMar>
            <w:hideMark/>
          </w:tcPr>
          <w:p w14:paraId="6114FBBA"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zh-CN"/>
              </w:rPr>
              <w:t>2</w:t>
            </w:r>
          </w:p>
        </w:tc>
      </w:tr>
      <w:tr w:rsidR="00CE5959" w:rsidRPr="00CE5959" w14:paraId="571B26C2" w14:textId="77777777" w:rsidTr="00CE5959">
        <w:trPr>
          <w:trHeight w:val="187"/>
        </w:trPr>
        <w:tc>
          <w:tcPr>
            <w:tcW w:w="12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BE048"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 </w:t>
            </w:r>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C67CB0D"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 </w:t>
            </w:r>
          </w:p>
        </w:tc>
        <w:tc>
          <w:tcPr>
            <w:tcW w:w="396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4E58198"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ja-JP"/>
              </w:rPr>
              <w:t>See n66 channel bandwidths in Table 5.3.5-1 for each carrier</w:t>
            </w:r>
          </w:p>
        </w:tc>
        <w:tc>
          <w:tcPr>
            <w:tcW w:w="1440" w:type="dxa"/>
            <w:tcBorders>
              <w:top w:val="nil"/>
              <w:left w:val="nil"/>
              <w:bottom w:val="single" w:sz="8" w:space="0" w:color="auto"/>
              <w:right w:val="single" w:sz="8" w:space="0" w:color="auto"/>
            </w:tcBorders>
            <w:hideMark/>
          </w:tcPr>
          <w:p w14:paraId="03A99630"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zh-CN"/>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64BBCA71"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zh-CN"/>
              </w:rPr>
              <w:t>85</w:t>
            </w:r>
          </w:p>
        </w:tc>
        <w:tc>
          <w:tcPr>
            <w:tcW w:w="1435" w:type="dxa"/>
            <w:tcBorders>
              <w:top w:val="nil"/>
              <w:left w:val="nil"/>
              <w:bottom w:val="single" w:sz="8" w:space="0" w:color="auto"/>
              <w:right w:val="single" w:sz="8" w:space="0" w:color="auto"/>
            </w:tcBorders>
            <w:tcMar>
              <w:top w:w="0" w:type="dxa"/>
              <w:left w:w="108" w:type="dxa"/>
              <w:bottom w:w="0" w:type="dxa"/>
              <w:right w:w="108" w:type="dxa"/>
            </w:tcMar>
            <w:hideMark/>
          </w:tcPr>
          <w:p w14:paraId="13524B30"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zh-CN"/>
              </w:rPr>
              <w:t>4 and 5</w:t>
            </w:r>
          </w:p>
        </w:tc>
      </w:tr>
      <w:tr w:rsidR="00CE5959" w:rsidRPr="00CE5959" w14:paraId="4F22060E" w14:textId="77777777" w:rsidTr="00CE5959">
        <w:trPr>
          <w:trHeight w:val="187"/>
        </w:trPr>
        <w:tc>
          <w:tcPr>
            <w:tcW w:w="12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AD4C4"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CA_n66(3A)</w:t>
            </w:r>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7FB13971"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CF5A6E0"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 xml:space="preserve">5, 10, 15, 20, </w:t>
            </w:r>
            <w:r w:rsidRPr="00CE5959">
              <w:rPr>
                <w:rFonts w:asciiTheme="minorHAnsi" w:hAnsiTheme="minorHAnsi" w:cstheme="minorHAnsi"/>
                <w:szCs w:val="18"/>
                <w:highlight w:val="yellow"/>
              </w:rPr>
              <w:t>40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70FBEEA"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 xml:space="preserve">5, 10, 15, 20, </w:t>
            </w:r>
            <w:r w:rsidRPr="00CE5959">
              <w:rPr>
                <w:rFonts w:asciiTheme="minorHAnsi" w:hAnsiTheme="minorHAnsi" w:cstheme="minorHAnsi"/>
                <w:szCs w:val="18"/>
                <w:highlight w:val="yellow"/>
              </w:rPr>
              <w:t>40</w:t>
            </w:r>
          </w:p>
        </w:tc>
        <w:tc>
          <w:tcPr>
            <w:tcW w:w="1440" w:type="dxa"/>
            <w:tcBorders>
              <w:top w:val="nil"/>
              <w:left w:val="nil"/>
              <w:bottom w:val="single" w:sz="8" w:space="0" w:color="auto"/>
              <w:right w:val="single" w:sz="8" w:space="0" w:color="auto"/>
            </w:tcBorders>
            <w:hideMark/>
          </w:tcPr>
          <w:p w14:paraId="021BBAD4"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rPr>
              <w:t>5, 10, 15, 20, 40</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792BA115"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eastAsia="ja-JP"/>
              </w:rPr>
              <w:t>80</w:t>
            </w:r>
          </w:p>
        </w:tc>
        <w:tc>
          <w:tcPr>
            <w:tcW w:w="1435" w:type="dxa"/>
            <w:tcBorders>
              <w:top w:val="nil"/>
              <w:left w:val="nil"/>
              <w:bottom w:val="single" w:sz="8" w:space="0" w:color="auto"/>
              <w:right w:val="single" w:sz="8" w:space="0" w:color="auto"/>
            </w:tcBorders>
            <w:tcMar>
              <w:top w:w="0" w:type="dxa"/>
              <w:left w:w="108" w:type="dxa"/>
              <w:bottom w:w="0" w:type="dxa"/>
              <w:right w:w="108" w:type="dxa"/>
            </w:tcMar>
            <w:hideMark/>
          </w:tcPr>
          <w:p w14:paraId="19CFACB9" w14:textId="77777777" w:rsidR="00CE5959" w:rsidRPr="00CE5959" w:rsidRDefault="00CE5959">
            <w:pPr>
              <w:pStyle w:val="TAC"/>
              <w:rPr>
                <w:rFonts w:asciiTheme="minorHAnsi" w:hAnsiTheme="minorHAnsi" w:cstheme="minorHAnsi"/>
                <w:szCs w:val="18"/>
              </w:rPr>
            </w:pPr>
            <w:r w:rsidRPr="00CE5959">
              <w:rPr>
                <w:rFonts w:asciiTheme="minorHAnsi" w:hAnsiTheme="minorHAnsi" w:cstheme="minorHAnsi"/>
                <w:szCs w:val="18"/>
                <w:lang w:val="fi-FI" w:eastAsia="zh-CN"/>
              </w:rPr>
              <w:t>0</w:t>
            </w:r>
          </w:p>
        </w:tc>
      </w:tr>
    </w:tbl>
    <w:p w14:paraId="4C189645" w14:textId="528A210C" w:rsidR="00CE5959" w:rsidRDefault="00CE5959" w:rsidP="00CE5959">
      <w:pPr>
        <w:spacing w:after="0"/>
        <w:rPr>
          <w:rFonts w:eastAsiaTheme="minorEastAsia"/>
          <w:lang w:val="en-US"/>
        </w:rPr>
      </w:pPr>
    </w:p>
    <w:p w14:paraId="1822A5F9" w14:textId="776733A5" w:rsidR="00CE5959" w:rsidRPr="00CE5959" w:rsidRDefault="00CE5959" w:rsidP="00252408">
      <w:pPr>
        <w:rPr>
          <w:rFonts w:eastAsiaTheme="minorEastAsia"/>
          <w:b/>
          <w:bCs/>
          <w:lang w:val="en-US"/>
        </w:rPr>
      </w:pPr>
      <w:r w:rsidRPr="00CE5959">
        <w:rPr>
          <w:rFonts w:eastAsiaTheme="minorEastAsia"/>
          <w:b/>
          <w:bCs/>
          <w:lang w:val="en-US"/>
        </w:rPr>
        <w:t>Observation: In both the new request</w:t>
      </w:r>
      <w:r w:rsidR="00CC584D">
        <w:rPr>
          <w:rFonts w:eastAsiaTheme="minorEastAsia"/>
          <w:b/>
          <w:bCs/>
          <w:lang w:val="en-US"/>
        </w:rPr>
        <w:t>,</w:t>
      </w:r>
      <w:r w:rsidRPr="00CE5959">
        <w:rPr>
          <w:rFonts w:eastAsiaTheme="minorEastAsia"/>
          <w:b/>
          <w:bCs/>
          <w:lang w:val="en-US"/>
        </w:rPr>
        <w:t xml:space="preserve"> and the existing BCS in the specification, </w:t>
      </w:r>
      <w:r w:rsidR="00CC584D">
        <w:rPr>
          <w:rFonts w:eastAsiaTheme="minorEastAsia"/>
          <w:b/>
          <w:bCs/>
          <w:lang w:val="en-US"/>
        </w:rPr>
        <w:t xml:space="preserve">and </w:t>
      </w:r>
      <w:r w:rsidRPr="00CE5959">
        <w:rPr>
          <w:rFonts w:eastAsiaTheme="minorEastAsia"/>
          <w:b/>
          <w:bCs/>
          <w:lang w:val="en-US"/>
        </w:rPr>
        <w:t>given that the total aggregated bandwidth is 80MHz</w:t>
      </w:r>
      <w:r w:rsidR="00CC584D">
        <w:rPr>
          <w:rFonts w:eastAsiaTheme="minorEastAsia"/>
          <w:b/>
          <w:bCs/>
          <w:lang w:val="en-US"/>
        </w:rPr>
        <w:t>,</w:t>
      </w:r>
      <w:r w:rsidRPr="00CE5959">
        <w:rPr>
          <w:rFonts w:eastAsiaTheme="minorEastAsia"/>
          <w:b/>
          <w:bCs/>
          <w:lang w:val="en-US"/>
        </w:rPr>
        <w:t xml:space="preserve"> it is not possible to have three-time 40MHz nor two-times 40MHz + </w:t>
      </w:r>
      <w:r w:rsidR="00CF7742">
        <w:rPr>
          <w:rFonts w:eastAsiaTheme="minorEastAsia"/>
          <w:b/>
          <w:bCs/>
          <w:lang w:val="en-US"/>
        </w:rPr>
        <w:t>one more CBW</w:t>
      </w:r>
      <w:r w:rsidRPr="00CE5959">
        <w:rPr>
          <w:rFonts w:eastAsiaTheme="minorEastAsia"/>
          <w:b/>
          <w:bCs/>
          <w:lang w:val="en-US"/>
        </w:rPr>
        <w:t xml:space="preserve">. The </w:t>
      </w:r>
      <w:r w:rsidRPr="00CE5959">
        <w:rPr>
          <w:rFonts w:eastAsiaTheme="minorEastAsia"/>
          <w:b/>
          <w:bCs/>
          <w:highlight w:val="yellow"/>
          <w:lang w:val="en-US"/>
        </w:rPr>
        <w:t>highlighted</w:t>
      </w:r>
      <w:r w:rsidRPr="00CE5959">
        <w:rPr>
          <w:rFonts w:eastAsiaTheme="minorEastAsia"/>
          <w:b/>
          <w:bCs/>
          <w:lang w:val="en-US"/>
        </w:rPr>
        <w:t xml:space="preserve"> 40 MHz CBW should not be present in the first two columns. </w:t>
      </w:r>
    </w:p>
    <w:p w14:paraId="13DE4F05" w14:textId="71652BBE" w:rsidR="00CE5959" w:rsidRPr="00CE5959" w:rsidRDefault="00CE5959" w:rsidP="00252408">
      <w:pPr>
        <w:rPr>
          <w:rFonts w:eastAsiaTheme="minorEastAsia"/>
          <w:b/>
          <w:bCs/>
          <w:lang w:val="en-US"/>
        </w:rPr>
      </w:pPr>
      <w:r w:rsidRPr="00CE5959">
        <w:rPr>
          <w:rFonts w:eastAsiaTheme="minorEastAsia"/>
          <w:b/>
          <w:bCs/>
          <w:lang w:val="en-US"/>
        </w:rPr>
        <w:t xml:space="preserve">Proposal: the 40MHz CBW should be removed in the two first “channel Bandwidths for carrier (MHz)” columns in </w:t>
      </w:r>
      <w:r w:rsidR="00CC584D">
        <w:rPr>
          <w:rFonts w:eastAsiaTheme="minorEastAsia"/>
          <w:b/>
          <w:bCs/>
          <w:lang w:val="en-US"/>
        </w:rPr>
        <w:t xml:space="preserve">both </w:t>
      </w:r>
      <w:r w:rsidRPr="00CE5959">
        <w:rPr>
          <w:rFonts w:eastAsiaTheme="minorEastAsia"/>
          <w:b/>
          <w:bCs/>
          <w:lang w:val="en-US"/>
        </w:rPr>
        <w:t xml:space="preserve">the </w:t>
      </w:r>
      <w:r w:rsidR="00CC584D">
        <w:rPr>
          <w:rFonts w:eastAsiaTheme="minorEastAsia"/>
          <w:b/>
          <w:bCs/>
          <w:lang w:val="en-US"/>
        </w:rPr>
        <w:t>r</w:t>
      </w:r>
      <w:r w:rsidRPr="00CE5959">
        <w:rPr>
          <w:rFonts w:eastAsiaTheme="minorEastAsia"/>
          <w:b/>
          <w:bCs/>
          <w:lang w:val="en-US"/>
        </w:rPr>
        <w:t>equest and the specification for the DL CA_n66(3A) case</w:t>
      </w:r>
      <w:r w:rsidR="00CF7742">
        <w:rPr>
          <w:rFonts w:eastAsiaTheme="minorEastAsia"/>
          <w:b/>
          <w:bCs/>
          <w:lang w:val="en-US"/>
        </w:rPr>
        <w:t>.</w:t>
      </w:r>
    </w:p>
    <w:p w14:paraId="325DB341" w14:textId="10C3E7AF" w:rsidR="00CE5959" w:rsidRDefault="00CE5959" w:rsidP="00252408">
      <w:pPr>
        <w:rPr>
          <w:rFonts w:eastAsiaTheme="minorEastAsia"/>
          <w:lang w:val="en-US"/>
        </w:rPr>
      </w:pPr>
      <w:r>
        <w:rPr>
          <w:rFonts w:eastAsiaTheme="minorEastAsia"/>
          <w:lang w:val="en-US"/>
        </w:rPr>
        <w:t>Separately, the UL bandwidth of band n66 is only 70MHz</w:t>
      </w:r>
      <w:r w:rsidR="00CC584D">
        <w:rPr>
          <w:rFonts w:eastAsiaTheme="minorEastAsia"/>
          <w:lang w:val="en-US"/>
        </w:rPr>
        <w:t>.</w:t>
      </w:r>
      <w:r>
        <w:rPr>
          <w:rFonts w:eastAsiaTheme="minorEastAsia"/>
          <w:lang w:val="en-US"/>
        </w:rPr>
        <w:t xml:space="preserve"> </w:t>
      </w:r>
      <w:r w:rsidR="00CC584D">
        <w:rPr>
          <w:rFonts w:eastAsiaTheme="minorEastAsia"/>
          <w:lang w:val="en-US"/>
        </w:rPr>
        <w:t>T</w:t>
      </w:r>
      <w:r>
        <w:rPr>
          <w:rFonts w:eastAsiaTheme="minorEastAsia"/>
          <w:lang w:val="en-US"/>
        </w:rPr>
        <w:t>hus</w:t>
      </w:r>
      <w:r w:rsidR="00CC584D">
        <w:rPr>
          <w:rFonts w:eastAsiaTheme="minorEastAsia"/>
          <w:lang w:val="en-US"/>
        </w:rPr>
        <w:t>,</w:t>
      </w:r>
      <w:r>
        <w:rPr>
          <w:rFonts w:eastAsiaTheme="minorEastAsia"/>
          <w:lang w:val="en-US"/>
        </w:rPr>
        <w:t xml:space="preserve"> UL CA_n66(2A) cannot be aggregated </w:t>
      </w:r>
      <w:r w:rsidR="00CF7742">
        <w:rPr>
          <w:rFonts w:eastAsiaTheme="minorEastAsia"/>
          <w:lang w:val="en-US"/>
        </w:rPr>
        <w:t>up to 80MHz, considering at least one 5MHz gap</w:t>
      </w:r>
      <w:r w:rsidR="00CC584D">
        <w:rPr>
          <w:rFonts w:eastAsiaTheme="minorEastAsia"/>
          <w:lang w:val="en-US"/>
        </w:rPr>
        <w:t>. Conversely,</w:t>
      </w:r>
      <w:r w:rsidR="00CF7742">
        <w:rPr>
          <w:rFonts w:eastAsiaTheme="minorEastAsia"/>
          <w:lang w:val="en-US"/>
        </w:rPr>
        <w:t xml:space="preserve"> the maximum aggregated CBW is 65MHz which, with</w:t>
      </w:r>
      <w:r w:rsidR="00CC584D">
        <w:rPr>
          <w:rFonts w:eastAsiaTheme="minorEastAsia"/>
          <w:lang w:val="en-US"/>
        </w:rPr>
        <w:t>in</w:t>
      </w:r>
      <w:r w:rsidR="00CF7742">
        <w:rPr>
          <w:rFonts w:eastAsiaTheme="minorEastAsia"/>
          <w:lang w:val="en-US"/>
        </w:rPr>
        <w:t xml:space="preserve"> the BCS definition would </w:t>
      </w:r>
      <w:proofErr w:type="gramStart"/>
      <w:r w:rsidR="00CF7742">
        <w:rPr>
          <w:rFonts w:eastAsiaTheme="minorEastAsia"/>
          <w:lang w:val="en-US"/>
        </w:rPr>
        <w:t>actually be</w:t>
      </w:r>
      <w:proofErr w:type="gramEnd"/>
      <w:r w:rsidR="00CF7742">
        <w:rPr>
          <w:rFonts w:eastAsiaTheme="minorEastAsia"/>
          <w:lang w:val="en-US"/>
        </w:rPr>
        <w:t xml:space="preserve"> 60MHz</w:t>
      </w:r>
      <w:r w:rsidR="00CC584D">
        <w:rPr>
          <w:rFonts w:eastAsiaTheme="minorEastAsia"/>
          <w:lang w:val="en-US"/>
        </w:rPr>
        <w:t>,</w:t>
      </w:r>
      <w:r w:rsidR="00CF7742">
        <w:rPr>
          <w:rFonts w:eastAsiaTheme="minorEastAsia"/>
          <w:lang w:val="en-US"/>
        </w:rPr>
        <w:t xml:space="preserve"> based on a 20MHz+40MHz case. Therefore, </w:t>
      </w:r>
      <w:r w:rsidR="00716A19">
        <w:rPr>
          <w:rFonts w:eastAsiaTheme="minorEastAsia"/>
          <w:lang w:val="en-US"/>
        </w:rPr>
        <w:t xml:space="preserve">CA_n66(2A) and </w:t>
      </w:r>
      <w:r w:rsidR="00CF7742">
        <w:rPr>
          <w:rFonts w:eastAsiaTheme="minorEastAsia"/>
          <w:lang w:val="en-US"/>
        </w:rPr>
        <w:t>CA_n66(3A) DL support with CA_n66(2A)</w:t>
      </w:r>
      <w:r w:rsidR="00CC584D">
        <w:rPr>
          <w:rFonts w:eastAsiaTheme="minorEastAsia"/>
          <w:lang w:val="en-US"/>
        </w:rPr>
        <w:t>,</w:t>
      </w:r>
      <w:r w:rsidR="00CF7742">
        <w:rPr>
          <w:rFonts w:eastAsiaTheme="minorEastAsia"/>
          <w:lang w:val="en-US"/>
        </w:rPr>
        <w:t xml:space="preserve"> requires the support of asymmetric UL/DL in some case</w:t>
      </w:r>
      <w:r w:rsidR="00CC584D">
        <w:rPr>
          <w:rFonts w:eastAsiaTheme="minorEastAsia"/>
          <w:lang w:val="en-US"/>
        </w:rPr>
        <w:t>s</w:t>
      </w:r>
      <w:r w:rsidR="00CF7742">
        <w:rPr>
          <w:rFonts w:eastAsiaTheme="minorEastAsia"/>
          <w:lang w:val="en-US"/>
        </w:rPr>
        <w:t>.</w:t>
      </w:r>
    </w:p>
    <w:p w14:paraId="24D93129" w14:textId="26E3F2DC" w:rsidR="00CF7742" w:rsidRPr="00716A19" w:rsidRDefault="00CF7742" w:rsidP="00252408">
      <w:pPr>
        <w:rPr>
          <w:rFonts w:eastAsiaTheme="minorEastAsia"/>
          <w:b/>
          <w:bCs/>
          <w:lang w:val="en-US"/>
        </w:rPr>
      </w:pPr>
      <w:r w:rsidRPr="00716A19">
        <w:rPr>
          <w:rFonts w:eastAsiaTheme="minorEastAsia"/>
          <w:b/>
          <w:bCs/>
          <w:lang w:val="en-US"/>
        </w:rPr>
        <w:t xml:space="preserve">Proposal: </w:t>
      </w:r>
      <w:r w:rsidR="00716A19" w:rsidRPr="00716A19">
        <w:rPr>
          <w:rFonts w:eastAsiaTheme="minorEastAsia"/>
          <w:b/>
          <w:bCs/>
          <w:lang w:val="en-US"/>
        </w:rPr>
        <w:t>A</w:t>
      </w:r>
      <w:r w:rsidRPr="00716A19">
        <w:rPr>
          <w:rFonts w:eastAsiaTheme="minorEastAsia"/>
          <w:b/>
          <w:bCs/>
          <w:lang w:val="en-US"/>
        </w:rPr>
        <w:t xml:space="preserve"> note is added for </w:t>
      </w:r>
      <w:r w:rsidR="00CC584D">
        <w:rPr>
          <w:rFonts w:eastAsiaTheme="minorEastAsia"/>
          <w:b/>
          <w:bCs/>
          <w:lang w:val="en-US"/>
        </w:rPr>
        <w:t xml:space="preserve">the </w:t>
      </w:r>
      <w:r w:rsidRPr="00716A19">
        <w:rPr>
          <w:rFonts w:eastAsiaTheme="minorEastAsia"/>
          <w:b/>
          <w:bCs/>
          <w:lang w:val="en-US"/>
        </w:rPr>
        <w:t>CA_n66(2A) UL configuration</w:t>
      </w:r>
      <w:r w:rsidR="00CC584D">
        <w:rPr>
          <w:rFonts w:eastAsiaTheme="minorEastAsia"/>
          <w:b/>
          <w:bCs/>
          <w:lang w:val="en-US"/>
        </w:rPr>
        <w:t>.</w:t>
      </w:r>
      <w:r w:rsidRPr="00716A19">
        <w:rPr>
          <w:rFonts w:eastAsiaTheme="minorEastAsia"/>
          <w:b/>
          <w:bCs/>
          <w:lang w:val="en-US"/>
        </w:rPr>
        <w:t xml:space="preserve"> </w:t>
      </w:r>
      <w:r w:rsidR="00CC584D">
        <w:rPr>
          <w:rFonts w:eastAsiaTheme="minorEastAsia"/>
          <w:b/>
          <w:bCs/>
          <w:lang w:val="en-US"/>
        </w:rPr>
        <w:t>This note provides an explanation</w:t>
      </w:r>
      <w:r w:rsidR="00716A19" w:rsidRPr="00716A19">
        <w:rPr>
          <w:rFonts w:eastAsiaTheme="minorEastAsia"/>
          <w:b/>
          <w:bCs/>
          <w:lang w:val="en-US"/>
        </w:rPr>
        <w:t xml:space="preserve"> </w:t>
      </w:r>
      <w:r w:rsidR="00CC584D">
        <w:rPr>
          <w:rFonts w:eastAsiaTheme="minorEastAsia"/>
          <w:b/>
          <w:bCs/>
          <w:lang w:val="en-US"/>
        </w:rPr>
        <w:t>on the need for</w:t>
      </w:r>
      <w:r w:rsidR="00716A19" w:rsidRPr="00716A19">
        <w:rPr>
          <w:rFonts w:eastAsiaTheme="minorEastAsia"/>
          <w:b/>
          <w:bCs/>
          <w:lang w:val="en-US"/>
        </w:rPr>
        <w:t xml:space="preserve"> asymmetric UL/DL support and that UL aggregated bandwidth is limited to 60MHz.</w:t>
      </w:r>
    </w:p>
    <w:p w14:paraId="36612F53" w14:textId="1DA07E51" w:rsidR="00716A19" w:rsidRDefault="00716A19" w:rsidP="00716A19">
      <w:pPr>
        <w:pStyle w:val="Heading2"/>
        <w:tabs>
          <w:tab w:val="left" w:pos="5865"/>
        </w:tabs>
        <w:rPr>
          <w:rFonts w:eastAsia="Arial"/>
          <w:lang w:eastAsia="zh-CN"/>
        </w:rPr>
      </w:pPr>
      <w:r>
        <w:rPr>
          <w:rFonts w:eastAsia="Arial"/>
          <w:lang w:eastAsia="zh-CN"/>
        </w:rPr>
        <w:t>2.2 Work related to the support of CA_n66(2A) in UL.</w:t>
      </w:r>
    </w:p>
    <w:p w14:paraId="432C74A2" w14:textId="61E53CD0" w:rsidR="00BE1723" w:rsidRDefault="00716A19" w:rsidP="00716A19">
      <w:pPr>
        <w:spacing w:after="0"/>
        <w:rPr>
          <w:rFonts w:eastAsiaTheme="minorEastAsia"/>
          <w:lang w:val="en-US"/>
        </w:rPr>
      </w:pPr>
      <w:r>
        <w:rPr>
          <w:rFonts w:eastAsiaTheme="minorEastAsia"/>
          <w:lang w:val="en-US"/>
        </w:rPr>
        <w:t xml:space="preserve">To add UL CA_n66(2A) support, </w:t>
      </w:r>
      <w:r w:rsidR="00CC584D">
        <w:rPr>
          <w:rFonts w:eastAsiaTheme="minorEastAsia"/>
          <w:lang w:val="en-US"/>
        </w:rPr>
        <w:t>an assessment is necessary regarding:</w:t>
      </w:r>
    </w:p>
    <w:p w14:paraId="65C6A618" w14:textId="4D57F92D" w:rsidR="00716A19" w:rsidRDefault="00716A19" w:rsidP="00716A19">
      <w:pPr>
        <w:pStyle w:val="ListParagraph"/>
        <w:numPr>
          <w:ilvl w:val="0"/>
          <w:numId w:val="40"/>
        </w:numPr>
        <w:spacing w:after="0"/>
        <w:ind w:firstLineChars="0"/>
        <w:rPr>
          <w:rFonts w:eastAsiaTheme="minorEastAsia"/>
          <w:lang w:val="en-US"/>
        </w:rPr>
      </w:pPr>
      <w:r>
        <w:rPr>
          <w:rFonts w:eastAsiaTheme="minorEastAsia"/>
          <w:lang w:val="en-US"/>
        </w:rPr>
        <w:t xml:space="preserve">Potential MSD related to ULCA with </w:t>
      </w:r>
      <w:r w:rsidR="00CC584D">
        <w:rPr>
          <w:rFonts w:eastAsiaTheme="minorEastAsia"/>
          <w:lang w:val="en-US"/>
        </w:rPr>
        <w:t xml:space="preserve">the </w:t>
      </w:r>
      <w:r>
        <w:rPr>
          <w:rFonts w:eastAsiaTheme="minorEastAsia"/>
          <w:lang w:val="en-US"/>
        </w:rPr>
        <w:t>largest separation (70MHz)</w:t>
      </w:r>
      <w:r w:rsidR="00CC584D">
        <w:rPr>
          <w:rFonts w:eastAsiaTheme="minorEastAsia"/>
          <w:lang w:val="en-US"/>
        </w:rPr>
        <w:t>,</w:t>
      </w:r>
      <w:r>
        <w:rPr>
          <w:rFonts w:eastAsiaTheme="minorEastAsia"/>
          <w:lang w:val="en-US"/>
        </w:rPr>
        <w:t xml:space="preserve"> while the duplex gap is 330MHz</w:t>
      </w:r>
      <w:r w:rsidR="00CC584D">
        <w:rPr>
          <w:rFonts w:eastAsiaTheme="minorEastAsia"/>
          <w:lang w:val="en-US"/>
        </w:rPr>
        <w:t>.</w:t>
      </w:r>
      <w:r>
        <w:rPr>
          <w:rFonts w:eastAsiaTheme="minorEastAsia"/>
          <w:lang w:val="en-US"/>
        </w:rPr>
        <w:t xml:space="preserve"> </w:t>
      </w:r>
      <w:r w:rsidR="00CC584D">
        <w:rPr>
          <w:rFonts w:eastAsiaTheme="minorEastAsia"/>
          <w:lang w:val="en-US"/>
        </w:rPr>
        <w:t>T</w:t>
      </w:r>
      <w:r>
        <w:rPr>
          <w:rFonts w:eastAsiaTheme="minorEastAsia"/>
          <w:lang w:val="en-US"/>
        </w:rPr>
        <w:t>hus</w:t>
      </w:r>
      <w:r w:rsidR="00CC584D">
        <w:rPr>
          <w:rFonts w:eastAsiaTheme="minorEastAsia"/>
          <w:lang w:val="en-US"/>
        </w:rPr>
        <w:t>,</w:t>
      </w:r>
      <w:r>
        <w:rPr>
          <w:rFonts w:eastAsiaTheme="minorEastAsia"/>
          <w:lang w:val="en-US"/>
        </w:rPr>
        <w:t xml:space="preserve"> one of </w:t>
      </w:r>
      <w:r w:rsidR="00CC584D">
        <w:rPr>
          <w:rFonts w:eastAsiaTheme="minorEastAsia"/>
          <w:lang w:val="en-US"/>
        </w:rPr>
        <w:t xml:space="preserve">the </w:t>
      </w:r>
      <w:r>
        <w:rPr>
          <w:rFonts w:eastAsiaTheme="minorEastAsia"/>
          <w:lang w:val="en-US"/>
        </w:rPr>
        <w:t>DL channel</w:t>
      </w:r>
      <w:r w:rsidR="00CC584D">
        <w:rPr>
          <w:rFonts w:eastAsiaTheme="minorEastAsia"/>
          <w:lang w:val="en-US"/>
        </w:rPr>
        <w:t>s</w:t>
      </w:r>
      <w:r>
        <w:rPr>
          <w:rFonts w:eastAsiaTheme="minorEastAsia"/>
          <w:lang w:val="en-US"/>
        </w:rPr>
        <w:t xml:space="preserve"> may be affected by IMD11</w:t>
      </w:r>
      <w:r w:rsidR="00CC584D">
        <w:rPr>
          <w:rFonts w:eastAsiaTheme="minorEastAsia"/>
          <w:lang w:val="en-US"/>
        </w:rPr>
        <w:t>,</w:t>
      </w:r>
      <w:r>
        <w:rPr>
          <w:rFonts w:eastAsiaTheme="minorEastAsia"/>
          <w:lang w:val="en-US"/>
        </w:rPr>
        <w:t xml:space="preserve"> </w:t>
      </w:r>
      <w:r w:rsidR="00CC584D">
        <w:rPr>
          <w:rFonts w:eastAsiaTheme="minorEastAsia"/>
          <w:lang w:val="en-US"/>
        </w:rPr>
        <w:t>with</w:t>
      </w:r>
      <w:r>
        <w:rPr>
          <w:rFonts w:eastAsiaTheme="minorEastAsia"/>
          <w:lang w:val="en-US"/>
        </w:rPr>
        <w:t xml:space="preserve"> recent studies show</w:t>
      </w:r>
      <w:r w:rsidR="00CC584D">
        <w:rPr>
          <w:rFonts w:eastAsiaTheme="minorEastAsia"/>
          <w:lang w:val="en-US"/>
        </w:rPr>
        <w:t>ing</w:t>
      </w:r>
      <w:r>
        <w:rPr>
          <w:rFonts w:eastAsiaTheme="minorEastAsia"/>
          <w:lang w:val="en-US"/>
        </w:rPr>
        <w:t xml:space="preserve"> that MSD may </w:t>
      </w:r>
      <w:r w:rsidR="00CC584D">
        <w:rPr>
          <w:rFonts w:eastAsiaTheme="minorEastAsia"/>
          <w:lang w:val="en-US"/>
        </w:rPr>
        <w:t xml:space="preserve">also </w:t>
      </w:r>
      <w:r>
        <w:rPr>
          <w:rFonts w:eastAsiaTheme="minorEastAsia"/>
          <w:lang w:val="en-US"/>
        </w:rPr>
        <w:t>occur at least up to IMD13</w:t>
      </w:r>
      <w:r w:rsidR="00CC584D">
        <w:rPr>
          <w:rFonts w:eastAsiaTheme="minorEastAsia"/>
          <w:lang w:val="en-US"/>
        </w:rPr>
        <w:t xml:space="preserve"> interference</w:t>
      </w:r>
      <w:r>
        <w:rPr>
          <w:rFonts w:eastAsiaTheme="minorEastAsia"/>
          <w:lang w:val="en-US"/>
        </w:rPr>
        <w:t>.</w:t>
      </w:r>
    </w:p>
    <w:p w14:paraId="3DDC59E4" w14:textId="77777777" w:rsidR="00716A19" w:rsidRDefault="00716A19" w:rsidP="00716A19">
      <w:pPr>
        <w:pStyle w:val="ListParagraph"/>
        <w:numPr>
          <w:ilvl w:val="0"/>
          <w:numId w:val="40"/>
        </w:numPr>
        <w:spacing w:after="0"/>
        <w:ind w:firstLineChars="0"/>
        <w:rPr>
          <w:rFonts w:eastAsiaTheme="minorEastAsia"/>
          <w:lang w:val="en-US"/>
        </w:rPr>
      </w:pPr>
      <w:r>
        <w:rPr>
          <w:rFonts w:eastAsiaTheme="minorEastAsia"/>
          <w:lang w:val="en-US"/>
        </w:rPr>
        <w:t xml:space="preserve">A-MPR for the specified n66 NS: NS_100, NS_03 and NS_03U. </w:t>
      </w:r>
    </w:p>
    <w:p w14:paraId="3FCB7E68" w14:textId="77B5CDFD" w:rsidR="00716A19" w:rsidRDefault="00716A19" w:rsidP="00716A19">
      <w:pPr>
        <w:pStyle w:val="ListParagraph"/>
        <w:numPr>
          <w:ilvl w:val="1"/>
          <w:numId w:val="40"/>
        </w:numPr>
        <w:spacing w:after="0"/>
        <w:ind w:firstLineChars="0"/>
        <w:rPr>
          <w:rFonts w:eastAsiaTheme="minorEastAsia"/>
          <w:lang w:val="en-US"/>
        </w:rPr>
      </w:pPr>
      <w:r>
        <w:rPr>
          <w:rFonts w:eastAsiaTheme="minorEastAsia"/>
          <w:lang w:val="en-US"/>
        </w:rPr>
        <w:lastRenderedPageBreak/>
        <w:t xml:space="preserve">It may be </w:t>
      </w:r>
      <w:r w:rsidR="00CC584D">
        <w:rPr>
          <w:rFonts w:eastAsiaTheme="minorEastAsia"/>
          <w:lang w:val="en-US"/>
        </w:rPr>
        <w:t>essential</w:t>
      </w:r>
      <w:r>
        <w:rPr>
          <w:rFonts w:eastAsiaTheme="minorEastAsia"/>
          <w:lang w:val="en-US"/>
        </w:rPr>
        <w:t xml:space="preserve"> that operators using </w:t>
      </w:r>
      <w:r w:rsidR="00CC584D">
        <w:rPr>
          <w:rFonts w:eastAsiaTheme="minorEastAsia"/>
          <w:lang w:val="en-US"/>
        </w:rPr>
        <w:t xml:space="preserve">Band </w:t>
      </w:r>
      <w:r>
        <w:rPr>
          <w:rFonts w:eastAsiaTheme="minorEastAsia"/>
          <w:lang w:val="en-US"/>
        </w:rPr>
        <w:t>n66</w:t>
      </w:r>
      <w:r w:rsidR="00CC584D">
        <w:rPr>
          <w:rFonts w:eastAsiaTheme="minorEastAsia"/>
          <w:lang w:val="en-US"/>
        </w:rPr>
        <w:t xml:space="preserve"> with CA_n66(2A) UL </w:t>
      </w:r>
      <w:r>
        <w:rPr>
          <w:rFonts w:eastAsiaTheme="minorEastAsia"/>
          <w:lang w:val="en-US"/>
        </w:rPr>
        <w:t xml:space="preserve">confirm </w:t>
      </w:r>
      <w:r w:rsidR="00367B2B">
        <w:rPr>
          <w:rFonts w:eastAsiaTheme="minorEastAsia"/>
          <w:lang w:val="en-US"/>
        </w:rPr>
        <w:t>whether</w:t>
      </w:r>
      <w:r>
        <w:rPr>
          <w:rFonts w:eastAsiaTheme="minorEastAsia"/>
          <w:lang w:val="en-US"/>
        </w:rPr>
        <w:t xml:space="preserve"> NS_100 </w:t>
      </w:r>
      <w:r w:rsidR="00367B2B">
        <w:rPr>
          <w:rFonts w:eastAsiaTheme="minorEastAsia"/>
          <w:lang w:val="en-US"/>
        </w:rPr>
        <w:t>must</w:t>
      </w:r>
      <w:r>
        <w:rPr>
          <w:rFonts w:eastAsiaTheme="minorEastAsia"/>
          <w:lang w:val="en-US"/>
        </w:rPr>
        <w:t xml:space="preserve"> be supported.</w:t>
      </w:r>
    </w:p>
    <w:p w14:paraId="5B1D35C9" w14:textId="152A8A93" w:rsidR="00716A19" w:rsidRDefault="00716A19" w:rsidP="00716A19">
      <w:pPr>
        <w:pStyle w:val="ListParagraph"/>
        <w:numPr>
          <w:ilvl w:val="1"/>
          <w:numId w:val="40"/>
        </w:numPr>
        <w:spacing w:after="0"/>
        <w:ind w:firstLineChars="0"/>
        <w:rPr>
          <w:rFonts w:eastAsiaTheme="minorEastAsia"/>
          <w:lang w:val="en-US"/>
        </w:rPr>
      </w:pPr>
      <w:r>
        <w:rPr>
          <w:rFonts w:eastAsiaTheme="minorEastAsia"/>
          <w:lang w:val="en-US"/>
        </w:rPr>
        <w:t xml:space="preserve">It may be </w:t>
      </w:r>
      <w:r w:rsidR="00367B2B">
        <w:rPr>
          <w:rFonts w:eastAsiaTheme="minorEastAsia"/>
          <w:lang w:val="en-US"/>
        </w:rPr>
        <w:t xml:space="preserve">also </w:t>
      </w:r>
      <w:proofErr w:type="spellStart"/>
      <w:r w:rsidR="00367B2B">
        <w:rPr>
          <w:rFonts w:eastAsiaTheme="minorEastAsia"/>
          <w:lang w:val="en-US"/>
        </w:rPr>
        <w:t>neessary</w:t>
      </w:r>
      <w:proofErr w:type="spellEnd"/>
      <w:r>
        <w:rPr>
          <w:rFonts w:eastAsiaTheme="minorEastAsia"/>
          <w:lang w:val="en-US"/>
        </w:rPr>
        <w:t xml:space="preserve"> to introduce CA_NC_NS</w:t>
      </w:r>
      <w:r w:rsidR="00367B2B">
        <w:rPr>
          <w:rFonts w:eastAsiaTheme="minorEastAsia"/>
          <w:lang w:val="en-US"/>
        </w:rPr>
        <w:t>_</w:t>
      </w:r>
      <w:r>
        <w:rPr>
          <w:rFonts w:eastAsiaTheme="minorEastAsia"/>
          <w:lang w:val="en-US"/>
        </w:rPr>
        <w:t>03 and the related A-MPR.</w:t>
      </w:r>
    </w:p>
    <w:p w14:paraId="053123CE" w14:textId="293C4A0E" w:rsidR="00716A19" w:rsidRDefault="00716A19" w:rsidP="00716A19">
      <w:pPr>
        <w:pStyle w:val="ListParagraph"/>
        <w:numPr>
          <w:ilvl w:val="0"/>
          <w:numId w:val="40"/>
        </w:numPr>
        <w:spacing w:after="0"/>
        <w:ind w:firstLineChars="0"/>
        <w:rPr>
          <w:rFonts w:eastAsiaTheme="minorEastAsia"/>
          <w:lang w:val="en-US"/>
        </w:rPr>
      </w:pPr>
      <w:r>
        <w:rPr>
          <w:rFonts w:eastAsiaTheme="minorEastAsia"/>
          <w:lang w:val="en-US"/>
        </w:rPr>
        <w:t>Given its limitation</w:t>
      </w:r>
      <w:r w:rsidR="00367B2B">
        <w:rPr>
          <w:rFonts w:eastAsiaTheme="minorEastAsia"/>
          <w:lang w:val="en-US"/>
        </w:rPr>
        <w:t>s</w:t>
      </w:r>
      <w:r>
        <w:rPr>
          <w:rFonts w:eastAsiaTheme="minorEastAsia"/>
          <w:lang w:val="en-US"/>
        </w:rPr>
        <w:t xml:space="preserve"> in terms of CBW and gap size </w:t>
      </w:r>
      <w:r w:rsidR="00367B2B">
        <w:rPr>
          <w:rFonts w:eastAsiaTheme="minorEastAsia"/>
          <w:lang w:val="en-US"/>
        </w:rPr>
        <w:t>restrictions,</w:t>
      </w:r>
      <w:r>
        <w:rPr>
          <w:rFonts w:eastAsiaTheme="minorEastAsia"/>
          <w:lang w:val="en-US"/>
        </w:rPr>
        <w:t xml:space="preserve"> and the amount of </w:t>
      </w:r>
      <w:r w:rsidR="00367B2B">
        <w:rPr>
          <w:rFonts w:eastAsiaTheme="minorEastAsia"/>
          <w:lang w:val="en-US"/>
        </w:rPr>
        <w:t>effort</w:t>
      </w:r>
      <w:r>
        <w:rPr>
          <w:rFonts w:eastAsiaTheme="minorEastAsia"/>
          <w:lang w:val="en-US"/>
        </w:rPr>
        <w:t xml:space="preserve"> required</w:t>
      </w:r>
      <w:r w:rsidR="00367B2B">
        <w:rPr>
          <w:rFonts w:eastAsiaTheme="minorEastAsia"/>
          <w:lang w:val="en-US"/>
        </w:rPr>
        <w:t>,</w:t>
      </w:r>
      <w:r>
        <w:rPr>
          <w:rFonts w:eastAsiaTheme="minorEastAsia"/>
          <w:lang w:val="en-US"/>
        </w:rPr>
        <w:t xml:space="preserve"> </w:t>
      </w:r>
      <w:r w:rsidR="00367B2B">
        <w:rPr>
          <w:rFonts w:eastAsiaTheme="minorEastAsia"/>
          <w:lang w:val="en-US"/>
        </w:rPr>
        <w:t>we recommend</w:t>
      </w:r>
      <w:r>
        <w:rPr>
          <w:rFonts w:eastAsiaTheme="minorEastAsia"/>
          <w:lang w:val="en-US"/>
        </w:rPr>
        <w:t xml:space="preserve"> deprioritiz</w:t>
      </w:r>
      <w:r w:rsidR="00367B2B">
        <w:rPr>
          <w:rFonts w:eastAsiaTheme="minorEastAsia"/>
          <w:lang w:val="en-US"/>
        </w:rPr>
        <w:t>ing</w:t>
      </w:r>
      <w:r>
        <w:rPr>
          <w:rFonts w:eastAsiaTheme="minorEastAsia"/>
          <w:lang w:val="en-US"/>
        </w:rPr>
        <w:t xml:space="preserve"> </w:t>
      </w:r>
      <w:r w:rsidR="00367B2B">
        <w:rPr>
          <w:rFonts w:eastAsiaTheme="minorEastAsia"/>
          <w:lang w:val="en-US"/>
        </w:rPr>
        <w:t>the</w:t>
      </w:r>
      <w:r>
        <w:rPr>
          <w:rFonts w:eastAsiaTheme="minorEastAsia"/>
          <w:lang w:val="en-US"/>
        </w:rPr>
        <w:t xml:space="preserve"> single PA approach.</w:t>
      </w:r>
    </w:p>
    <w:p w14:paraId="24039E65" w14:textId="540EFC73" w:rsidR="00716A19" w:rsidRDefault="00716A19" w:rsidP="00716A19">
      <w:pPr>
        <w:spacing w:after="0"/>
        <w:rPr>
          <w:rFonts w:eastAsiaTheme="minorEastAsia"/>
          <w:lang w:val="en-US"/>
        </w:rPr>
      </w:pPr>
    </w:p>
    <w:p w14:paraId="5DF7B446" w14:textId="6706C643" w:rsidR="00716A19" w:rsidRDefault="00716A19" w:rsidP="00716A19">
      <w:pPr>
        <w:spacing w:after="0"/>
        <w:rPr>
          <w:rFonts w:eastAsiaTheme="minorEastAsia"/>
          <w:b/>
          <w:bCs/>
          <w:lang w:val="en-US"/>
        </w:rPr>
      </w:pPr>
      <w:r w:rsidRPr="00716A19">
        <w:rPr>
          <w:rFonts w:eastAsiaTheme="minorEastAsia"/>
          <w:b/>
          <w:bCs/>
          <w:lang w:val="en-US"/>
        </w:rPr>
        <w:t>Proposal for the CA_n66(2A) UL RAN4 work:</w:t>
      </w:r>
    </w:p>
    <w:p w14:paraId="09F0DE3F" w14:textId="71BA8F69" w:rsidR="00716A19" w:rsidRDefault="00716A19" w:rsidP="00716A19">
      <w:pPr>
        <w:pStyle w:val="ListParagraph"/>
        <w:numPr>
          <w:ilvl w:val="0"/>
          <w:numId w:val="41"/>
        </w:numPr>
        <w:spacing w:after="0"/>
        <w:ind w:firstLineChars="0"/>
        <w:rPr>
          <w:rFonts w:eastAsiaTheme="minorEastAsia"/>
          <w:b/>
          <w:bCs/>
          <w:lang w:val="en-US"/>
        </w:rPr>
      </w:pPr>
      <w:r>
        <w:rPr>
          <w:rFonts w:eastAsiaTheme="minorEastAsia"/>
          <w:b/>
          <w:bCs/>
          <w:lang w:val="en-US"/>
        </w:rPr>
        <w:t>UL CA_n66(2A) MS</w:t>
      </w:r>
      <w:r w:rsidR="001A5DAB">
        <w:rPr>
          <w:rFonts w:eastAsiaTheme="minorEastAsia"/>
          <w:b/>
          <w:bCs/>
          <w:lang w:val="en-US"/>
        </w:rPr>
        <w:t>D</w:t>
      </w:r>
      <w:r>
        <w:rPr>
          <w:rFonts w:eastAsiaTheme="minorEastAsia"/>
          <w:b/>
          <w:bCs/>
          <w:lang w:val="en-US"/>
        </w:rPr>
        <w:t xml:space="preserve"> is studied </w:t>
      </w:r>
      <w:r w:rsidR="001A5DAB">
        <w:rPr>
          <w:rFonts w:eastAsiaTheme="minorEastAsia"/>
          <w:b/>
          <w:bCs/>
          <w:lang w:val="en-US"/>
        </w:rPr>
        <w:t>(even with the large duplex gap).</w:t>
      </w:r>
    </w:p>
    <w:p w14:paraId="2616B37C" w14:textId="1D1CB45F" w:rsidR="001A5DAB" w:rsidRDefault="001A5DAB" w:rsidP="00716A19">
      <w:pPr>
        <w:pStyle w:val="ListParagraph"/>
        <w:numPr>
          <w:ilvl w:val="0"/>
          <w:numId w:val="41"/>
        </w:numPr>
        <w:spacing w:after="0"/>
        <w:ind w:firstLineChars="0"/>
        <w:rPr>
          <w:rFonts w:eastAsiaTheme="minorEastAsia"/>
          <w:b/>
          <w:bCs/>
          <w:lang w:val="en-US"/>
        </w:rPr>
      </w:pPr>
      <w:r>
        <w:rPr>
          <w:rFonts w:eastAsiaTheme="minorEastAsia"/>
          <w:b/>
          <w:bCs/>
          <w:lang w:val="en-US"/>
        </w:rPr>
        <w:t>Operator interested in using n66(2A) UL must clarify if NS_100 support is needed.</w:t>
      </w:r>
    </w:p>
    <w:p w14:paraId="5F0B9F66" w14:textId="08F1B10A" w:rsidR="0018029D" w:rsidRDefault="001A5DAB" w:rsidP="00716A19">
      <w:pPr>
        <w:pStyle w:val="ListParagraph"/>
        <w:numPr>
          <w:ilvl w:val="0"/>
          <w:numId w:val="41"/>
        </w:numPr>
        <w:spacing w:after="0"/>
        <w:ind w:firstLineChars="0"/>
        <w:rPr>
          <w:rFonts w:eastAsiaTheme="minorEastAsia"/>
          <w:b/>
          <w:bCs/>
          <w:lang w:val="en-US"/>
        </w:rPr>
      </w:pPr>
      <w:r>
        <w:rPr>
          <w:rFonts w:eastAsiaTheme="minorEastAsia"/>
          <w:b/>
          <w:bCs/>
          <w:lang w:val="en-US"/>
        </w:rPr>
        <w:t>ULCA A-MPR for NS_03 is studied and introduction of a related ULCA additional SEM requirement discussed.</w:t>
      </w:r>
    </w:p>
    <w:p w14:paraId="3B2177B8" w14:textId="46F1CA24" w:rsidR="00367B2B" w:rsidRPr="001A5DAB" w:rsidRDefault="00367B2B" w:rsidP="00716A19">
      <w:pPr>
        <w:pStyle w:val="ListParagraph"/>
        <w:numPr>
          <w:ilvl w:val="0"/>
          <w:numId w:val="41"/>
        </w:numPr>
        <w:spacing w:after="0"/>
        <w:ind w:firstLineChars="0"/>
        <w:rPr>
          <w:rFonts w:eastAsiaTheme="minorEastAsia"/>
          <w:b/>
          <w:bCs/>
          <w:lang w:val="en-US"/>
        </w:rPr>
      </w:pPr>
      <w:r>
        <w:rPr>
          <w:rFonts w:eastAsiaTheme="minorEastAsia"/>
          <w:b/>
          <w:bCs/>
          <w:lang w:val="en-US"/>
        </w:rPr>
        <w:t xml:space="preserve">Only </w:t>
      </w:r>
      <w:proofErr w:type="spellStart"/>
      <w:r>
        <w:rPr>
          <w:rFonts w:eastAsiaTheme="minorEastAsia"/>
          <w:b/>
          <w:bCs/>
          <w:lang w:val="en-US"/>
        </w:rPr>
        <w:t>dualPA</w:t>
      </w:r>
      <w:proofErr w:type="spellEnd"/>
      <w:r>
        <w:rPr>
          <w:rFonts w:eastAsiaTheme="minorEastAsia"/>
          <w:b/>
          <w:bCs/>
          <w:lang w:val="en-US"/>
        </w:rPr>
        <w:t xml:space="preserve"> is supported.</w:t>
      </w:r>
    </w:p>
    <w:p w14:paraId="3A1423CF" w14:textId="5DD5410B" w:rsidR="006C0252" w:rsidRPr="00343AA7" w:rsidRDefault="006C0252" w:rsidP="00476DF4">
      <w:pPr>
        <w:pStyle w:val="Heading1"/>
        <w:numPr>
          <w:ilvl w:val="0"/>
          <w:numId w:val="1"/>
        </w:numPr>
        <w:ind w:left="567" w:hanging="567"/>
      </w:pPr>
      <w:r>
        <w:t>Conclusion</w:t>
      </w:r>
    </w:p>
    <w:p w14:paraId="30DE081B" w14:textId="560750FB" w:rsidR="00A42874" w:rsidRDefault="006C0252" w:rsidP="00A42874">
      <w:r w:rsidRPr="0018029D">
        <w:t>In</w:t>
      </w:r>
      <w:r w:rsidR="00A42874" w:rsidRPr="0018029D">
        <w:t xml:space="preserve"> this contribution, we </w:t>
      </w:r>
      <w:proofErr w:type="spellStart"/>
      <w:r w:rsidR="001A5DAB">
        <w:t>analyzed</w:t>
      </w:r>
      <w:proofErr w:type="spellEnd"/>
      <w:r w:rsidR="001A5DAB">
        <w:t xml:space="preserve"> the request for CA_n66(2A) support and its potential requirements and make the following proposals</w:t>
      </w:r>
      <w:r w:rsidR="0018029D">
        <w:t>.</w:t>
      </w:r>
    </w:p>
    <w:p w14:paraId="180E8CE4" w14:textId="0512CEF1" w:rsidR="001A5DAB" w:rsidRDefault="001A5DAB" w:rsidP="001A5DAB">
      <w:pPr>
        <w:rPr>
          <w:rFonts w:eastAsiaTheme="minorEastAsia"/>
          <w:b/>
          <w:bCs/>
          <w:lang w:val="en-US"/>
        </w:rPr>
      </w:pPr>
      <w:r w:rsidRPr="001A5DAB">
        <w:rPr>
          <w:rFonts w:eastAsiaTheme="minorEastAsia"/>
          <w:b/>
          <w:bCs/>
          <w:lang w:val="en-US"/>
        </w:rPr>
        <w:t xml:space="preserve">Proposal: the 40MHz CBW should be removed in the two first “channel Bandwidths for carrier (MHz)” columns in </w:t>
      </w:r>
      <w:r w:rsidR="00CC584D">
        <w:rPr>
          <w:rFonts w:eastAsiaTheme="minorEastAsia"/>
          <w:b/>
          <w:bCs/>
          <w:lang w:val="en-US"/>
        </w:rPr>
        <w:t xml:space="preserve">both </w:t>
      </w:r>
      <w:r w:rsidRPr="001A5DAB">
        <w:rPr>
          <w:rFonts w:eastAsiaTheme="minorEastAsia"/>
          <w:b/>
          <w:bCs/>
          <w:lang w:val="en-US"/>
        </w:rPr>
        <w:t xml:space="preserve">the </w:t>
      </w:r>
      <w:r w:rsidR="00CC584D">
        <w:rPr>
          <w:rFonts w:eastAsiaTheme="minorEastAsia"/>
          <w:b/>
          <w:bCs/>
          <w:lang w:val="en-US"/>
        </w:rPr>
        <w:t>r</w:t>
      </w:r>
      <w:r w:rsidRPr="001A5DAB">
        <w:rPr>
          <w:rFonts w:eastAsiaTheme="minorEastAsia"/>
          <w:b/>
          <w:bCs/>
          <w:lang w:val="en-US"/>
        </w:rPr>
        <w:t>equest and the specification for the DL CA_n66(3A) case.</w:t>
      </w:r>
    </w:p>
    <w:p w14:paraId="35425F3D" w14:textId="6747C2C7" w:rsidR="001A5DAB" w:rsidRPr="00716A19" w:rsidRDefault="00CC584D" w:rsidP="001A5DAB">
      <w:pPr>
        <w:rPr>
          <w:rFonts w:eastAsiaTheme="minorEastAsia"/>
          <w:b/>
          <w:bCs/>
          <w:lang w:val="en-US"/>
        </w:rPr>
      </w:pPr>
      <w:r w:rsidRPr="00716A19">
        <w:rPr>
          <w:rFonts w:eastAsiaTheme="minorEastAsia"/>
          <w:b/>
          <w:bCs/>
          <w:lang w:val="en-US"/>
        </w:rPr>
        <w:t xml:space="preserve">Proposal: A note is added for </w:t>
      </w:r>
      <w:r>
        <w:rPr>
          <w:rFonts w:eastAsiaTheme="minorEastAsia"/>
          <w:b/>
          <w:bCs/>
          <w:lang w:val="en-US"/>
        </w:rPr>
        <w:t xml:space="preserve">the </w:t>
      </w:r>
      <w:r w:rsidRPr="00716A19">
        <w:rPr>
          <w:rFonts w:eastAsiaTheme="minorEastAsia"/>
          <w:b/>
          <w:bCs/>
          <w:lang w:val="en-US"/>
        </w:rPr>
        <w:t>CA_n66(2A) UL configuration</w:t>
      </w:r>
      <w:r>
        <w:rPr>
          <w:rFonts w:eastAsiaTheme="minorEastAsia"/>
          <w:b/>
          <w:bCs/>
          <w:lang w:val="en-US"/>
        </w:rPr>
        <w:t>.</w:t>
      </w:r>
      <w:r w:rsidRPr="00716A19">
        <w:rPr>
          <w:rFonts w:eastAsiaTheme="minorEastAsia"/>
          <w:b/>
          <w:bCs/>
          <w:lang w:val="en-US"/>
        </w:rPr>
        <w:t xml:space="preserve"> </w:t>
      </w:r>
      <w:r>
        <w:rPr>
          <w:rFonts w:eastAsiaTheme="minorEastAsia"/>
          <w:b/>
          <w:bCs/>
          <w:lang w:val="en-US"/>
        </w:rPr>
        <w:t>This note provides an explanation</w:t>
      </w:r>
      <w:r w:rsidRPr="00716A19">
        <w:rPr>
          <w:rFonts w:eastAsiaTheme="minorEastAsia"/>
          <w:b/>
          <w:bCs/>
          <w:lang w:val="en-US"/>
        </w:rPr>
        <w:t xml:space="preserve"> </w:t>
      </w:r>
      <w:r>
        <w:rPr>
          <w:rFonts w:eastAsiaTheme="minorEastAsia"/>
          <w:b/>
          <w:bCs/>
          <w:lang w:val="en-US"/>
        </w:rPr>
        <w:t>on the need for</w:t>
      </w:r>
      <w:r w:rsidRPr="00716A19">
        <w:rPr>
          <w:rFonts w:eastAsiaTheme="minorEastAsia"/>
          <w:b/>
          <w:bCs/>
          <w:lang w:val="en-US"/>
        </w:rPr>
        <w:t xml:space="preserve"> asymmetric UL/DL support and that UL aggregated bandwidth is limited to 60MHz</w:t>
      </w:r>
      <w:r w:rsidR="001A5DAB" w:rsidRPr="00716A19">
        <w:rPr>
          <w:rFonts w:eastAsiaTheme="minorEastAsia"/>
          <w:b/>
          <w:bCs/>
          <w:lang w:val="en-US"/>
        </w:rPr>
        <w:t>.</w:t>
      </w:r>
    </w:p>
    <w:p w14:paraId="54C942C9" w14:textId="77777777" w:rsidR="00367B2B" w:rsidRDefault="00367B2B" w:rsidP="00367B2B">
      <w:pPr>
        <w:spacing w:after="0"/>
        <w:rPr>
          <w:rFonts w:eastAsiaTheme="minorEastAsia"/>
          <w:b/>
          <w:bCs/>
          <w:lang w:val="en-US"/>
        </w:rPr>
      </w:pPr>
      <w:r w:rsidRPr="00716A19">
        <w:rPr>
          <w:rFonts w:eastAsiaTheme="minorEastAsia"/>
          <w:b/>
          <w:bCs/>
          <w:lang w:val="en-US"/>
        </w:rPr>
        <w:t>Proposal for the CA_n66(2A) UL RAN4 work:</w:t>
      </w:r>
    </w:p>
    <w:p w14:paraId="4813E8F8" w14:textId="77777777" w:rsidR="00367B2B" w:rsidRDefault="00367B2B" w:rsidP="00367B2B">
      <w:pPr>
        <w:pStyle w:val="ListParagraph"/>
        <w:numPr>
          <w:ilvl w:val="0"/>
          <w:numId w:val="41"/>
        </w:numPr>
        <w:spacing w:after="0"/>
        <w:ind w:firstLineChars="0"/>
        <w:rPr>
          <w:rFonts w:eastAsiaTheme="minorEastAsia"/>
          <w:b/>
          <w:bCs/>
          <w:lang w:val="en-US"/>
        </w:rPr>
      </w:pPr>
      <w:r>
        <w:rPr>
          <w:rFonts w:eastAsiaTheme="minorEastAsia"/>
          <w:b/>
          <w:bCs/>
          <w:lang w:val="en-US"/>
        </w:rPr>
        <w:t>UL CA_n66(2A) MSD is studied (even with the large duplex gap).</w:t>
      </w:r>
    </w:p>
    <w:p w14:paraId="3EDD44AA" w14:textId="77777777" w:rsidR="00367B2B" w:rsidRDefault="00367B2B" w:rsidP="00367B2B">
      <w:pPr>
        <w:pStyle w:val="ListParagraph"/>
        <w:numPr>
          <w:ilvl w:val="0"/>
          <w:numId w:val="41"/>
        </w:numPr>
        <w:spacing w:after="0"/>
        <w:ind w:firstLineChars="0"/>
        <w:rPr>
          <w:rFonts w:eastAsiaTheme="minorEastAsia"/>
          <w:b/>
          <w:bCs/>
          <w:lang w:val="en-US"/>
        </w:rPr>
      </w:pPr>
      <w:r>
        <w:rPr>
          <w:rFonts w:eastAsiaTheme="minorEastAsia"/>
          <w:b/>
          <w:bCs/>
          <w:lang w:val="en-US"/>
        </w:rPr>
        <w:t>Operator interested in using n66(2A) UL must clarify if NS_100 support is needed.</w:t>
      </w:r>
    </w:p>
    <w:p w14:paraId="49A00E0A" w14:textId="77777777" w:rsidR="00367B2B" w:rsidRDefault="00367B2B" w:rsidP="00367B2B">
      <w:pPr>
        <w:pStyle w:val="ListParagraph"/>
        <w:numPr>
          <w:ilvl w:val="0"/>
          <w:numId w:val="41"/>
        </w:numPr>
        <w:spacing w:after="0"/>
        <w:ind w:firstLineChars="0"/>
        <w:rPr>
          <w:rFonts w:eastAsiaTheme="minorEastAsia"/>
          <w:b/>
          <w:bCs/>
          <w:lang w:val="en-US"/>
        </w:rPr>
      </w:pPr>
      <w:r>
        <w:rPr>
          <w:rFonts w:eastAsiaTheme="minorEastAsia"/>
          <w:b/>
          <w:bCs/>
          <w:lang w:val="en-US"/>
        </w:rPr>
        <w:t>ULCA A-MPR for NS_03 is studied and introduction of a related ULCA additional SEM requirement discussed.</w:t>
      </w:r>
    </w:p>
    <w:p w14:paraId="27DFA2B0" w14:textId="22C3466F" w:rsidR="0018029D" w:rsidRPr="00367B2B" w:rsidRDefault="00367B2B" w:rsidP="00367B2B">
      <w:pPr>
        <w:pStyle w:val="ListParagraph"/>
        <w:numPr>
          <w:ilvl w:val="0"/>
          <w:numId w:val="41"/>
        </w:numPr>
        <w:spacing w:after="0"/>
        <w:ind w:firstLineChars="0"/>
        <w:rPr>
          <w:rFonts w:eastAsiaTheme="minorEastAsia"/>
          <w:b/>
          <w:bCs/>
          <w:lang w:val="en-US"/>
        </w:rPr>
      </w:pPr>
      <w:r>
        <w:rPr>
          <w:rFonts w:eastAsiaTheme="minorEastAsia"/>
          <w:b/>
          <w:bCs/>
          <w:lang w:val="en-US"/>
        </w:rPr>
        <w:t xml:space="preserve">Only </w:t>
      </w:r>
      <w:proofErr w:type="spellStart"/>
      <w:r>
        <w:rPr>
          <w:rFonts w:eastAsiaTheme="minorEastAsia"/>
          <w:b/>
          <w:bCs/>
          <w:lang w:val="en-US"/>
        </w:rPr>
        <w:t>dualPA</w:t>
      </w:r>
      <w:proofErr w:type="spellEnd"/>
      <w:r>
        <w:rPr>
          <w:rFonts w:eastAsiaTheme="minorEastAsia"/>
          <w:b/>
          <w:bCs/>
          <w:lang w:val="en-US"/>
        </w:rPr>
        <w:t xml:space="preserve"> is supported</w:t>
      </w:r>
      <w:r w:rsidR="001A5DAB" w:rsidRPr="00367B2B">
        <w:rPr>
          <w:rFonts w:eastAsiaTheme="minorEastAsia"/>
          <w:b/>
          <w:bCs/>
          <w:lang w:val="en-US"/>
        </w:rPr>
        <w:t>.</w:t>
      </w:r>
    </w:p>
    <w:p w14:paraId="2FC89EBD" w14:textId="79FA2FCC" w:rsidR="00453E3B" w:rsidRPr="00717CE8" w:rsidRDefault="00F2750F" w:rsidP="00717CE8">
      <w:pPr>
        <w:pStyle w:val="Heading1"/>
        <w:numPr>
          <w:ilvl w:val="0"/>
          <w:numId w:val="1"/>
        </w:numPr>
        <w:ind w:left="567" w:hanging="567"/>
      </w:pPr>
      <w:r>
        <w:t>References</w:t>
      </w:r>
    </w:p>
    <w:sectPr w:rsidR="00453E3B" w:rsidRPr="00717CE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6ACA0" w14:textId="77777777" w:rsidR="006F4492" w:rsidRPr="00A10429" w:rsidRDefault="006F4492" w:rsidP="0064547A">
      <w:pPr>
        <w:spacing w:after="0"/>
        <w:rPr>
          <w:kern w:val="2"/>
          <w:lang w:eastAsia="zh-CN"/>
        </w:rPr>
      </w:pPr>
      <w:r>
        <w:separator/>
      </w:r>
    </w:p>
  </w:endnote>
  <w:endnote w:type="continuationSeparator" w:id="0">
    <w:p w14:paraId="7E4636BD" w14:textId="77777777" w:rsidR="006F4492" w:rsidRPr="00A10429" w:rsidRDefault="006F4492" w:rsidP="0064547A">
      <w:pPr>
        <w:spacing w:after="0"/>
        <w:rPr>
          <w:kern w:val="2"/>
          <w:lang w:eastAsia="zh-CN"/>
        </w:rPr>
      </w:pPr>
      <w:r>
        <w:continuationSeparator/>
      </w:r>
    </w:p>
  </w:endnote>
  <w:endnote w:type="continuationNotice" w:id="1">
    <w:p w14:paraId="61F62D9D" w14:textId="77777777" w:rsidR="006F4492" w:rsidRDefault="006F4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8EDFB" w14:textId="77777777" w:rsidR="006F4492" w:rsidRPr="00A10429" w:rsidRDefault="006F4492" w:rsidP="0064547A">
      <w:pPr>
        <w:spacing w:after="0"/>
        <w:rPr>
          <w:kern w:val="2"/>
          <w:lang w:eastAsia="zh-CN"/>
        </w:rPr>
      </w:pPr>
      <w:r>
        <w:separator/>
      </w:r>
    </w:p>
  </w:footnote>
  <w:footnote w:type="continuationSeparator" w:id="0">
    <w:p w14:paraId="6250C26B" w14:textId="77777777" w:rsidR="006F4492" w:rsidRPr="00A10429" w:rsidRDefault="006F4492" w:rsidP="0064547A">
      <w:pPr>
        <w:spacing w:after="0"/>
        <w:rPr>
          <w:kern w:val="2"/>
          <w:lang w:eastAsia="zh-CN"/>
        </w:rPr>
      </w:pPr>
      <w:r>
        <w:continuationSeparator/>
      </w:r>
    </w:p>
  </w:footnote>
  <w:footnote w:type="continuationNotice" w:id="1">
    <w:p w14:paraId="4F91E43C" w14:textId="77777777" w:rsidR="006F4492" w:rsidRDefault="006F44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1E77BE"/>
    <w:multiLevelType w:val="hybridMultilevel"/>
    <w:tmpl w:val="14AA3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8A4067"/>
    <w:multiLevelType w:val="hybridMultilevel"/>
    <w:tmpl w:val="D4E4A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144457"/>
    <w:multiLevelType w:val="hybridMultilevel"/>
    <w:tmpl w:val="DBDC0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F849DE"/>
    <w:multiLevelType w:val="hybridMultilevel"/>
    <w:tmpl w:val="A468A7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925973"/>
    <w:multiLevelType w:val="hybridMultilevel"/>
    <w:tmpl w:val="CF28B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8959EF"/>
    <w:multiLevelType w:val="hybridMultilevel"/>
    <w:tmpl w:val="B864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0ED7CBB"/>
    <w:multiLevelType w:val="hybridMultilevel"/>
    <w:tmpl w:val="ECD0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3BA6BB6"/>
    <w:multiLevelType w:val="hybridMultilevel"/>
    <w:tmpl w:val="D25CB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202AF"/>
    <w:multiLevelType w:val="hybridMultilevel"/>
    <w:tmpl w:val="4EC4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6A3E27"/>
    <w:multiLevelType w:val="hybridMultilevel"/>
    <w:tmpl w:val="3A9A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FF15273"/>
    <w:multiLevelType w:val="hybridMultilevel"/>
    <w:tmpl w:val="79B48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845B65"/>
    <w:multiLevelType w:val="hybridMultilevel"/>
    <w:tmpl w:val="F11420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7C0B71"/>
    <w:multiLevelType w:val="hybridMultilevel"/>
    <w:tmpl w:val="305A59A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180A9D"/>
    <w:multiLevelType w:val="hybridMultilevel"/>
    <w:tmpl w:val="3E14C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396B71"/>
    <w:multiLevelType w:val="hybridMultilevel"/>
    <w:tmpl w:val="541A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3"/>
  </w:num>
  <w:num w:numId="2" w16cid:durableId="1298339486">
    <w:abstractNumId w:val="10"/>
  </w:num>
  <w:num w:numId="3" w16cid:durableId="730156007">
    <w:abstractNumId w:val="17"/>
  </w:num>
  <w:num w:numId="4" w16cid:durableId="317660584">
    <w:abstractNumId w:val="15"/>
  </w:num>
  <w:num w:numId="5" w16cid:durableId="1858304697">
    <w:abstractNumId w:val="38"/>
  </w:num>
  <w:num w:numId="6" w16cid:durableId="2105563181">
    <w:abstractNumId w:val="8"/>
  </w:num>
  <w:num w:numId="7" w16cid:durableId="633097245">
    <w:abstractNumId w:val="24"/>
  </w:num>
  <w:num w:numId="8" w16cid:durableId="1163470918">
    <w:abstractNumId w:val="19"/>
  </w:num>
  <w:num w:numId="9" w16cid:durableId="255214559">
    <w:abstractNumId w:val="36"/>
  </w:num>
  <w:num w:numId="10" w16cid:durableId="1775591434">
    <w:abstractNumId w:val="39"/>
  </w:num>
  <w:num w:numId="11" w16cid:durableId="1690718188">
    <w:abstractNumId w:val="40"/>
  </w:num>
  <w:num w:numId="12" w16cid:durableId="1051925366">
    <w:abstractNumId w:val="20"/>
  </w:num>
  <w:num w:numId="13" w16cid:durableId="1741057929">
    <w:abstractNumId w:val="22"/>
  </w:num>
  <w:num w:numId="14" w16cid:durableId="232856064">
    <w:abstractNumId w:val="18"/>
  </w:num>
  <w:num w:numId="15" w16cid:durableId="224609546">
    <w:abstractNumId w:val="33"/>
  </w:num>
  <w:num w:numId="16" w16cid:durableId="1767651071">
    <w:abstractNumId w:val="0"/>
  </w:num>
  <w:num w:numId="17" w16cid:durableId="220364000">
    <w:abstractNumId w:val="35"/>
  </w:num>
  <w:num w:numId="18" w16cid:durableId="1462066297">
    <w:abstractNumId w:val="12"/>
  </w:num>
  <w:num w:numId="19" w16cid:durableId="799766590">
    <w:abstractNumId w:val="4"/>
  </w:num>
  <w:num w:numId="20" w16cid:durableId="1479571757">
    <w:abstractNumId w:val="34"/>
  </w:num>
  <w:num w:numId="21" w16cid:durableId="409159420">
    <w:abstractNumId w:val="25"/>
  </w:num>
  <w:num w:numId="22" w16cid:durableId="691032568">
    <w:abstractNumId w:val="23"/>
    <w:lvlOverride w:ilvl="0">
      <w:startOverride w:val="1"/>
    </w:lvlOverride>
  </w:num>
  <w:num w:numId="23" w16cid:durableId="1262377704">
    <w:abstractNumId w:val="27"/>
    <w:lvlOverride w:ilvl="0">
      <w:startOverride w:val="1"/>
    </w:lvlOverride>
  </w:num>
  <w:num w:numId="24" w16cid:durableId="1852722677">
    <w:abstractNumId w:val="31"/>
  </w:num>
  <w:num w:numId="25" w16cid:durableId="985090709">
    <w:abstractNumId w:val="29"/>
  </w:num>
  <w:num w:numId="26" w16cid:durableId="751195008">
    <w:abstractNumId w:val="6"/>
  </w:num>
  <w:num w:numId="27" w16cid:durableId="1585800635">
    <w:abstractNumId w:val="9"/>
  </w:num>
  <w:num w:numId="28" w16cid:durableId="1431395345">
    <w:abstractNumId w:val="32"/>
  </w:num>
  <w:num w:numId="29" w16cid:durableId="512114592">
    <w:abstractNumId w:val="5"/>
  </w:num>
  <w:num w:numId="30" w16cid:durableId="1105078215">
    <w:abstractNumId w:val="21"/>
  </w:num>
  <w:num w:numId="31" w16cid:durableId="359404217">
    <w:abstractNumId w:val="1"/>
  </w:num>
  <w:num w:numId="32" w16cid:durableId="1920938335">
    <w:abstractNumId w:val="28"/>
  </w:num>
  <w:num w:numId="33" w16cid:durableId="866219286">
    <w:abstractNumId w:val="14"/>
  </w:num>
  <w:num w:numId="34" w16cid:durableId="2036732036">
    <w:abstractNumId w:val="30"/>
  </w:num>
  <w:num w:numId="35" w16cid:durableId="1411348140">
    <w:abstractNumId w:val="37"/>
  </w:num>
  <w:num w:numId="36" w16cid:durableId="1499494283">
    <w:abstractNumId w:val="26"/>
  </w:num>
  <w:num w:numId="37" w16cid:durableId="943457150">
    <w:abstractNumId w:val="16"/>
  </w:num>
  <w:num w:numId="38" w16cid:durableId="798651613">
    <w:abstractNumId w:val="7"/>
  </w:num>
  <w:num w:numId="39" w16cid:durableId="572930618">
    <w:abstractNumId w:val="2"/>
  </w:num>
  <w:num w:numId="40" w16cid:durableId="140772885">
    <w:abstractNumId w:val="11"/>
  </w:num>
  <w:num w:numId="41" w16cid:durableId="570626986">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DAB"/>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3DEB"/>
    <w:rsid w:val="001C459E"/>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73C"/>
    <w:rsid w:val="001D36C0"/>
    <w:rsid w:val="001D3EA9"/>
    <w:rsid w:val="001D4516"/>
    <w:rsid w:val="001D4FDF"/>
    <w:rsid w:val="001D56A9"/>
    <w:rsid w:val="001D59D0"/>
    <w:rsid w:val="001D7276"/>
    <w:rsid w:val="001D76A8"/>
    <w:rsid w:val="001D7703"/>
    <w:rsid w:val="001D7E4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299D"/>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2B"/>
    <w:rsid w:val="00367BA3"/>
    <w:rsid w:val="00367D1E"/>
    <w:rsid w:val="00367E49"/>
    <w:rsid w:val="00370E75"/>
    <w:rsid w:val="0037297B"/>
    <w:rsid w:val="00372A7D"/>
    <w:rsid w:val="00372E2E"/>
    <w:rsid w:val="0037336A"/>
    <w:rsid w:val="003737BE"/>
    <w:rsid w:val="00374925"/>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BC7"/>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59D"/>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B8A"/>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4492"/>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6A19"/>
    <w:rsid w:val="007173C7"/>
    <w:rsid w:val="007174FC"/>
    <w:rsid w:val="00717CE8"/>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5F"/>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A62"/>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172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4848"/>
    <w:rsid w:val="00CC56C3"/>
    <w:rsid w:val="00CC584D"/>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959"/>
    <w:rsid w:val="00CE5F94"/>
    <w:rsid w:val="00CE7809"/>
    <w:rsid w:val="00CF100D"/>
    <w:rsid w:val="00CF112A"/>
    <w:rsid w:val="00CF1A01"/>
    <w:rsid w:val="00CF2D5C"/>
    <w:rsid w:val="00CF2FB2"/>
    <w:rsid w:val="00CF33EF"/>
    <w:rsid w:val="00CF399C"/>
    <w:rsid w:val="00CF412D"/>
    <w:rsid w:val="00CF4D05"/>
    <w:rsid w:val="00CF57B4"/>
    <w:rsid w:val="00CF6E1D"/>
    <w:rsid w:val="00CF76CD"/>
    <w:rsid w:val="00CF7742"/>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696"/>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46632805">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620516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2024-08-09T17:16:00Z</dcterms:created>
  <dcterms:modified xsi:type="dcterms:W3CDTF">2024-08-09T21:00:00Z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